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DA3" w:rsidRDefault="008C4DA3" w:rsidP="006F7452">
      <w:pPr>
        <w:pStyle w:val="Puesto"/>
        <w:ind w:left="2832"/>
        <w:rPr>
          <w:noProof/>
          <w:color w:val="006666"/>
          <w:lang w:val="es-ES"/>
        </w:rPr>
      </w:pPr>
      <w:r>
        <w:rPr>
          <w:rFonts w:ascii="Tahoma" w:hAnsi="Tahoma" w:cs="Tahoma"/>
          <w:noProof/>
          <w:sz w:val="12"/>
          <w:szCs w:val="12"/>
          <w:lang w:val="es-EC" w:eastAsia="es-EC"/>
        </w:rPr>
        <w:drawing>
          <wp:anchor distT="0" distB="0" distL="114300" distR="114300" simplePos="0" relativeHeight="251662336" behindDoc="1" locked="0" layoutInCell="1" allowOverlap="1">
            <wp:simplePos x="0" y="0"/>
            <wp:positionH relativeFrom="page">
              <wp:posOffset>3810</wp:posOffset>
            </wp:positionH>
            <wp:positionV relativeFrom="paragraph">
              <wp:posOffset>-450586</wp:posOffset>
            </wp:positionV>
            <wp:extent cx="2944519" cy="2226945"/>
            <wp:effectExtent l="0" t="0" r="8255" b="190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ERVICIOS TC AUDIT 2018-02.jpg"/>
                    <pic:cNvPicPr/>
                  </pic:nvPicPr>
                  <pic:blipFill rotWithShape="1">
                    <a:blip r:embed="rId8" cstate="print">
                      <a:extLst>
                        <a:ext uri="{28A0092B-C50C-407E-A947-70E740481C1C}">
                          <a14:useLocalDpi xmlns:a14="http://schemas.microsoft.com/office/drawing/2010/main" val="0"/>
                        </a:ext>
                      </a:extLst>
                    </a:blip>
                    <a:srcRect b="47142"/>
                    <a:stretch/>
                  </pic:blipFill>
                  <pic:spPr bwMode="auto">
                    <a:xfrm>
                      <a:off x="0" y="0"/>
                      <a:ext cx="2944519" cy="22269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F7452" w:rsidRDefault="008C4DA3" w:rsidP="008C4DA3">
      <w:pPr>
        <w:pStyle w:val="Puesto"/>
        <w:ind w:left="4248"/>
        <w:rPr>
          <w:noProof/>
          <w:color w:val="006666"/>
          <w:lang w:val="es-ES"/>
        </w:rPr>
      </w:pPr>
      <w:r>
        <w:rPr>
          <w:noProof/>
          <w:lang w:val="es-EC" w:eastAsia="es-EC"/>
        </w:rPr>
        <mc:AlternateContent>
          <mc:Choice Requires="wps">
            <w:drawing>
              <wp:anchor distT="0" distB="0" distL="114300" distR="114300" simplePos="0" relativeHeight="251663360" behindDoc="1" locked="0" layoutInCell="1" allowOverlap="1">
                <wp:simplePos x="0" y="0"/>
                <wp:positionH relativeFrom="margin">
                  <wp:posOffset>2466711</wp:posOffset>
                </wp:positionH>
                <wp:positionV relativeFrom="page">
                  <wp:posOffset>1474470</wp:posOffset>
                </wp:positionV>
                <wp:extent cx="4785049" cy="215661"/>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5049" cy="215661"/>
                        </a:xfrm>
                        <a:prstGeom prst="rect">
                          <a:avLst/>
                        </a:prstGeom>
                        <a:solidFill>
                          <a:srgbClr val="009999">
                            <a:alpha val="78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7452" w:rsidRPr="00F137F9" w:rsidRDefault="006F7452" w:rsidP="006F745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194.25pt;margin-top:116.1pt;width:376.8pt;height:17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" fillcolor="#099" stroked="f">
                <v:fill opacity="51143f"/>
                <v:textbox inset="0,0,0,0">
                  <w:txbxContent>
                    <w:p w:rsidR="006F7452" w:rsidRPr="00F137F9" w:rsidRDefault="006F7452" w:rsidP="006F7452"/>
                  </w:txbxContent>
                </v:textbox>
                <w10:wrap anchorx="margin" anchory="page"/>
              </v:shape>
            </w:pict>
          </mc:Fallback>
        </mc:AlternateContent>
      </w:r>
      <w:r w:rsidR="006F7452" w:rsidRPr="00DF25C7">
        <w:rPr>
          <w:noProof/>
          <w:color w:val="006666"/>
          <w:lang w:val="es-ES"/>
        </w:rPr>
        <w:t>TC PLUS</w:t>
      </w:r>
    </w:p>
    <w:p w:rsidR="006F7452" w:rsidRPr="008C4DA3" w:rsidRDefault="008C4DA3" w:rsidP="008C4DA3">
      <w:pPr>
        <w:pStyle w:val="Puesto"/>
        <w:ind w:left="4248"/>
        <w:rPr>
          <w:noProof/>
          <w:color w:val="006666"/>
          <w:sz w:val="52"/>
          <w:lang w:val="es-ES"/>
        </w:rPr>
      </w:pPr>
      <w:r>
        <w:rPr>
          <w:noProof/>
          <w:lang w:val="es-EC" w:eastAsia="es-EC"/>
        </w:rPr>
        <mc:AlternateContent>
          <mc:Choice Requires="wps">
            <w:drawing>
              <wp:anchor distT="0" distB="0" distL="114300" distR="114300" simplePos="0" relativeHeight="251659264" behindDoc="1" locked="0" layoutInCell="1" allowOverlap="1">
                <wp:simplePos x="0" y="0"/>
                <wp:positionH relativeFrom="page">
                  <wp:posOffset>3676650</wp:posOffset>
                </wp:positionH>
                <wp:positionV relativeFrom="page">
                  <wp:posOffset>1514474</wp:posOffset>
                </wp:positionV>
                <wp:extent cx="3883025" cy="9182735"/>
                <wp:effectExtent l="0" t="0" r="3175"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3025" cy="9182735"/>
                        </a:xfrm>
                        <a:prstGeom prst="rect">
                          <a:avLst/>
                        </a:prstGeom>
                        <a:solidFill>
                          <a:srgbClr val="009999">
                            <a:alpha val="2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7452" w:rsidRPr="00D76B81" w:rsidRDefault="006F7452" w:rsidP="006F7452">
                            <w:pPr>
                              <w:rPr>
                                <w:sz w:val="20"/>
                                <w:szCs w:val="20"/>
                              </w:rPr>
                            </w:pPr>
                            <w:r w:rsidRPr="00D76B81">
                              <w:rPr>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2" o:spid="_x0000_s1027" type="#_x0000_t202" style="position:absolute;left:0;text-align:left;margin-left:289.5pt;margin-top:119.25pt;width:305.75pt;height:72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" fillcolor="#099" stroked="f">
                <v:fill opacity="13107f"/>
                <v:textbox inset="0,0,0,0">
                  <w:txbxContent>
                    <w:p w:rsidR="006F7452" w:rsidRPr="00D76B81" w:rsidRDefault="006F7452" w:rsidP="006F7452">
                      <w:pPr>
                        <w:rPr>
                          <w:sz w:val="20"/>
                          <w:szCs w:val="20"/>
                        </w:rPr>
                      </w:pPr>
                      <w:r w:rsidRPr="00D76B81">
                        <w:rPr>
                          <w:sz w:val="20"/>
                          <w:szCs w:val="20"/>
                        </w:rPr>
                        <w:t xml:space="preserve">     </w:t>
                      </w:r>
                    </w:p>
                  </w:txbxContent>
                </v:textbox>
                <w10:wrap anchorx="page" anchory="page"/>
              </v:shape>
            </w:pict>
          </mc:Fallback>
        </mc:AlternateContent>
      </w:r>
      <w:r w:rsidR="006F7452" w:rsidRPr="008C4DA3">
        <w:rPr>
          <w:noProof/>
          <w:color w:val="006666"/>
          <w:sz w:val="52"/>
          <w:lang w:val="es-ES"/>
        </w:rPr>
        <w:t xml:space="preserve"> </w:t>
      </w:r>
      <w:r w:rsidR="006F7452" w:rsidRPr="008C4DA3">
        <w:rPr>
          <w:noProof/>
          <w:color w:val="006666"/>
          <w:sz w:val="28"/>
          <w:lang w:val="es-ES"/>
        </w:rPr>
        <w:t>informativo gerencial</w:t>
      </w:r>
      <w:r w:rsidR="00D029EE">
        <w:rPr>
          <w:noProof/>
          <w:color w:val="006666"/>
          <w:sz w:val="28"/>
          <w:lang w:val="es-ES"/>
        </w:rPr>
        <w:t xml:space="preserve"> 1</w:t>
      </w:r>
      <w:r w:rsidR="00B0203A">
        <w:rPr>
          <w:noProof/>
          <w:color w:val="006666"/>
          <w:sz w:val="28"/>
          <w:lang w:val="es-ES"/>
        </w:rPr>
        <w:t>7</w:t>
      </w:r>
      <w:r w:rsidR="00BF77D1">
        <w:rPr>
          <w:noProof/>
          <w:color w:val="006666"/>
          <w:sz w:val="28"/>
          <w:lang w:val="es-ES"/>
        </w:rPr>
        <w:t xml:space="preserve"> /</w:t>
      </w:r>
      <w:r w:rsidR="00B0203A">
        <w:rPr>
          <w:noProof/>
          <w:color w:val="006666"/>
          <w:sz w:val="28"/>
          <w:lang w:val="es-ES"/>
        </w:rPr>
        <w:t>junio</w:t>
      </w:r>
      <w:r w:rsidR="00BF77D1">
        <w:rPr>
          <w:noProof/>
          <w:color w:val="006666"/>
          <w:sz w:val="28"/>
          <w:lang w:val="es-ES"/>
        </w:rPr>
        <w:t xml:space="preserve"> </w:t>
      </w:r>
      <w:r w:rsidRPr="008C4DA3">
        <w:rPr>
          <w:noProof/>
          <w:color w:val="006666"/>
          <w:sz w:val="28"/>
          <w:lang w:val="es-ES"/>
        </w:rPr>
        <w:t>2018</w:t>
      </w:r>
    </w:p>
    <w:p w:rsidR="006F7452" w:rsidRDefault="006F7452" w:rsidP="006F7452">
      <w:r>
        <w:rPr>
          <w:noProof/>
          <w:lang w:val="es-EC" w:eastAsia="es-EC"/>
        </w:rPr>
        <mc:AlternateContent>
          <mc:Choice Requires="wps">
            <w:drawing>
              <wp:anchor distT="0" distB="0" distL="114300" distR="114300" simplePos="0" relativeHeight="251661312" behindDoc="0" locked="0" layoutInCell="1" allowOverlap="1">
                <wp:simplePos x="0" y="0"/>
                <wp:positionH relativeFrom="page">
                  <wp:posOffset>-96506</wp:posOffset>
                </wp:positionH>
                <wp:positionV relativeFrom="page">
                  <wp:posOffset>1378540</wp:posOffset>
                </wp:positionV>
                <wp:extent cx="5013325" cy="2585720"/>
                <wp:effectExtent l="3175" t="3175" r="3175" b="190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325" cy="258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452" w:rsidRPr="00136E72" w:rsidRDefault="006F7452" w:rsidP="006F7452"/>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uadro de texto 5" o:spid="_x0000_s1028" type="#_x0000_t202" style="position:absolute;margin-left:-7.6pt;margin-top:108.55pt;width:394.75pt;height:203.6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" filled="f" stroked="f">
                <v:textbox style="mso-fit-shape-to-text:t">
                  <w:txbxContent>
                    <w:p w:rsidR="006F7452" w:rsidRPr="00136E72" w:rsidRDefault="006F7452" w:rsidP="006F7452"/>
                  </w:txbxContent>
                </v:textbox>
                <w10:wrap anchorx="page" anchory="page"/>
              </v:shape>
            </w:pict>
          </mc:Fallback>
        </mc:AlternateContent>
      </w:r>
    </w:p>
    <w:p w:rsidR="006F7452" w:rsidRDefault="006F7452" w:rsidP="006F7452"/>
    <w:p w:rsidR="006F7452" w:rsidRDefault="006F7452" w:rsidP="006F7452"/>
    <w:p w:rsidR="006F7452" w:rsidRDefault="006F7452" w:rsidP="006F7452"/>
    <w:p w:rsidR="00A05240" w:rsidRPr="00A05240" w:rsidRDefault="00A05240" w:rsidP="00A05240">
      <w:pPr>
        <w:pStyle w:val="Textoindependiente"/>
        <w:spacing w:after="0"/>
        <w:rPr>
          <w:rFonts w:ascii="Tahoma" w:hAnsi="Tahoma" w:cs="Tahoma"/>
          <w:b/>
          <w:bCs/>
          <w:sz w:val="18"/>
          <w:szCs w:val="14"/>
        </w:rPr>
        <w:sectPr w:rsidR="00A05240" w:rsidRPr="00A05240" w:rsidSect="00A05240">
          <w:footerReference w:type="default" r:id="rId9"/>
          <w:pgSz w:w="11906" w:h="16838"/>
          <w:pgMar w:top="720" w:right="720" w:bottom="720" w:left="720" w:header="708" w:footer="708" w:gutter="0"/>
          <w:cols w:space="708"/>
          <w:docGrid w:linePitch="360"/>
        </w:sectPr>
      </w:pPr>
    </w:p>
    <w:p w:rsidR="00B0203A" w:rsidRPr="00B0203A" w:rsidRDefault="00B0203A" w:rsidP="00B0203A">
      <w:pPr>
        <w:pStyle w:val="Textoindependiente"/>
        <w:jc w:val="center"/>
        <w:rPr>
          <w:b/>
          <w:color w:val="808080" w:themeColor="background1" w:themeShade="80"/>
          <w:sz w:val="32"/>
        </w:rPr>
      </w:pPr>
      <w:r w:rsidRPr="00B0203A">
        <w:rPr>
          <w:b/>
          <w:color w:val="808080" w:themeColor="background1" w:themeShade="80"/>
          <w:sz w:val="32"/>
        </w:rPr>
        <w:lastRenderedPageBreak/>
        <w:t>FUNCIÓN EJECUTIVA</w:t>
      </w:r>
    </w:p>
    <w:p w:rsidR="009E7B82" w:rsidRPr="009E7B82" w:rsidRDefault="00B0203A" w:rsidP="00B0203A">
      <w:pPr>
        <w:pStyle w:val="Textoindependiente"/>
        <w:rPr>
          <w:b/>
          <w:bCs/>
          <w:sz w:val="14"/>
        </w:rPr>
      </w:pPr>
      <w:r w:rsidRPr="00B0203A">
        <w:rPr>
          <w:b/>
          <w:color w:val="009999"/>
          <w:sz w:val="32"/>
        </w:rPr>
        <w:t>PRESIDENCIA DE LA REPÚBLICA DEL ECUADOR:</w:t>
      </w:r>
      <w:r w:rsidRPr="00B0203A">
        <w:rPr>
          <w:b/>
          <w:color w:val="009999"/>
          <w:sz w:val="32"/>
        </w:rPr>
        <w:br/>
      </w:r>
    </w:p>
    <w:p w:rsidR="00977482" w:rsidRDefault="00977482" w:rsidP="00B0203A">
      <w:pPr>
        <w:pStyle w:val="Textoindependiente"/>
        <w:rPr>
          <w:b/>
          <w:color w:val="006666"/>
          <w:sz w:val="20"/>
          <w:szCs w:val="20"/>
        </w:rPr>
      </w:pPr>
      <w:r>
        <w:rPr>
          <w:b/>
          <w:bCs/>
          <w:sz w:val="32"/>
        </w:rPr>
        <w:t xml:space="preserve">Suplemento </w:t>
      </w:r>
      <w:r w:rsidRPr="00A656F3">
        <w:rPr>
          <w:b/>
          <w:bCs/>
          <w:sz w:val="32"/>
        </w:rPr>
        <w:t xml:space="preserve">Registro Oficial No. </w:t>
      </w:r>
      <w:r w:rsidRPr="00977482">
        <w:rPr>
          <w:b/>
          <w:bCs/>
          <w:sz w:val="32"/>
        </w:rPr>
        <w:t>254,</w:t>
      </w:r>
      <w:r>
        <w:rPr>
          <w:b/>
          <w:bCs/>
          <w:sz w:val="32"/>
        </w:rPr>
        <w:t xml:space="preserve"> </w:t>
      </w:r>
      <w:r w:rsidRPr="00977482">
        <w:rPr>
          <w:b/>
          <w:bCs/>
          <w:sz w:val="32"/>
        </w:rPr>
        <w:t xml:space="preserve">04 de </w:t>
      </w:r>
      <w:r>
        <w:rPr>
          <w:b/>
          <w:bCs/>
          <w:sz w:val="32"/>
        </w:rPr>
        <w:t>j</w:t>
      </w:r>
      <w:r w:rsidRPr="00977482">
        <w:rPr>
          <w:b/>
          <w:bCs/>
          <w:sz w:val="32"/>
        </w:rPr>
        <w:t>unio de 2018</w:t>
      </w:r>
      <w:r w:rsidR="00B0203A" w:rsidRPr="00977482">
        <w:rPr>
          <w:b/>
          <w:bCs/>
          <w:sz w:val="32"/>
        </w:rPr>
        <w:br/>
      </w:r>
    </w:p>
    <w:p w:rsidR="00D76B81" w:rsidRPr="00977482" w:rsidRDefault="00977482" w:rsidP="00977482">
      <w:pPr>
        <w:pStyle w:val="Textoindependiente"/>
        <w:numPr>
          <w:ilvl w:val="0"/>
          <w:numId w:val="1"/>
        </w:numPr>
        <w:spacing w:after="0"/>
        <w:rPr>
          <w:b/>
          <w:color w:val="006666"/>
          <w:sz w:val="20"/>
          <w:szCs w:val="20"/>
        </w:rPr>
      </w:pPr>
      <w:r>
        <w:rPr>
          <w:b/>
          <w:color w:val="006666"/>
          <w:sz w:val="20"/>
          <w:szCs w:val="20"/>
        </w:rPr>
        <w:t xml:space="preserve">Decreto </w:t>
      </w:r>
      <w:r w:rsidR="00D76B81" w:rsidRPr="00977482">
        <w:rPr>
          <w:b/>
          <w:color w:val="006666"/>
          <w:sz w:val="20"/>
          <w:szCs w:val="20"/>
        </w:rPr>
        <w:t xml:space="preserve">397: </w:t>
      </w:r>
      <w:proofErr w:type="spellStart"/>
      <w:r w:rsidR="00D76B81" w:rsidRPr="00977482">
        <w:rPr>
          <w:sz w:val="20"/>
          <w:szCs w:val="20"/>
        </w:rPr>
        <w:t>Expídese</w:t>
      </w:r>
      <w:proofErr w:type="spellEnd"/>
      <w:r w:rsidR="00D76B81" w:rsidRPr="00977482">
        <w:rPr>
          <w:sz w:val="20"/>
          <w:szCs w:val="20"/>
        </w:rPr>
        <w:t xml:space="preserve"> el Reglamento General de la Ley Orgánica Integral para Prevenir y Erradicar la Violencia Contra las Mujeres</w:t>
      </w:r>
    </w:p>
    <w:p w:rsidR="00D76B81" w:rsidRPr="009E7B82" w:rsidRDefault="00D76B81" w:rsidP="00B0203A">
      <w:pPr>
        <w:pStyle w:val="Textoindependiente"/>
        <w:rPr>
          <w:b/>
          <w:bCs/>
          <w:sz w:val="14"/>
        </w:rPr>
      </w:pPr>
    </w:p>
    <w:p w:rsidR="00B0203A" w:rsidRPr="00A656F3" w:rsidRDefault="00D76B81" w:rsidP="00B0203A">
      <w:pPr>
        <w:pStyle w:val="Textoindependiente"/>
        <w:rPr>
          <w:b/>
          <w:bCs/>
          <w:sz w:val="32"/>
        </w:rPr>
      </w:pPr>
      <w:r>
        <w:rPr>
          <w:b/>
          <w:bCs/>
          <w:sz w:val="32"/>
        </w:rPr>
        <w:t xml:space="preserve">Segundo </w:t>
      </w:r>
      <w:r w:rsidR="00B0203A">
        <w:rPr>
          <w:b/>
          <w:bCs/>
          <w:sz w:val="32"/>
        </w:rPr>
        <w:t xml:space="preserve">Suplemento </w:t>
      </w:r>
      <w:r w:rsidR="00B0203A" w:rsidRPr="00A656F3">
        <w:rPr>
          <w:b/>
          <w:bCs/>
          <w:sz w:val="32"/>
        </w:rPr>
        <w:t xml:space="preserve">Registro Oficial No. </w:t>
      </w:r>
      <w:r w:rsidR="00B0203A" w:rsidRPr="00B0203A">
        <w:rPr>
          <w:b/>
          <w:bCs/>
          <w:sz w:val="32"/>
        </w:rPr>
        <w:t>253,</w:t>
      </w:r>
      <w:r w:rsidR="00B0203A">
        <w:rPr>
          <w:b/>
          <w:bCs/>
          <w:sz w:val="32"/>
        </w:rPr>
        <w:t xml:space="preserve"> 01 de j</w:t>
      </w:r>
      <w:r w:rsidR="00B0203A" w:rsidRPr="00B0203A">
        <w:rPr>
          <w:b/>
          <w:bCs/>
          <w:sz w:val="32"/>
        </w:rPr>
        <w:t>unio de 2018</w:t>
      </w:r>
    </w:p>
    <w:p w:rsidR="00B0203A" w:rsidRDefault="00B0203A" w:rsidP="00B0203A">
      <w:pPr>
        <w:pStyle w:val="Textoindependiente"/>
        <w:numPr>
          <w:ilvl w:val="0"/>
          <w:numId w:val="1"/>
        </w:numPr>
        <w:spacing w:after="0"/>
        <w:rPr>
          <w:b/>
          <w:color w:val="006666"/>
          <w:sz w:val="20"/>
          <w:szCs w:val="20"/>
        </w:rPr>
      </w:pPr>
      <w:r>
        <w:rPr>
          <w:b/>
          <w:color w:val="006666"/>
          <w:sz w:val="20"/>
          <w:szCs w:val="20"/>
        </w:rPr>
        <w:t xml:space="preserve">Decreto </w:t>
      </w:r>
      <w:hyperlink r:id="rId10" w:history="1">
        <w:r w:rsidRPr="00B0203A">
          <w:rPr>
            <w:b/>
            <w:color w:val="006666"/>
            <w:sz w:val="20"/>
            <w:szCs w:val="20"/>
          </w:rPr>
          <w:t>396</w:t>
        </w:r>
      </w:hyperlink>
      <w:r w:rsidRPr="00B0203A">
        <w:rPr>
          <w:b/>
          <w:color w:val="006666"/>
          <w:sz w:val="20"/>
          <w:szCs w:val="20"/>
        </w:rPr>
        <w:t xml:space="preserve">: </w:t>
      </w:r>
      <w:proofErr w:type="spellStart"/>
      <w:r w:rsidRPr="00B0203A">
        <w:rPr>
          <w:sz w:val="20"/>
          <w:szCs w:val="20"/>
        </w:rPr>
        <w:t>Expídese</w:t>
      </w:r>
      <w:proofErr w:type="spellEnd"/>
      <w:r w:rsidRPr="00B0203A">
        <w:rPr>
          <w:sz w:val="20"/>
          <w:szCs w:val="20"/>
        </w:rPr>
        <w:t xml:space="preserve"> el Reglamento para la importación de menaje de casa, vehículo y equipos de trabajo, por parte de personas ecuatorianas que deciden retornar con el ánimo de domiciliarse en el país</w:t>
      </w:r>
      <w:r w:rsidRPr="00B0203A">
        <w:rPr>
          <w:b/>
          <w:sz w:val="20"/>
          <w:szCs w:val="20"/>
        </w:rPr>
        <w:t>.</w:t>
      </w:r>
    </w:p>
    <w:p w:rsidR="00B0203A" w:rsidRPr="009E7B82" w:rsidRDefault="00B0203A" w:rsidP="00B0203A">
      <w:pPr>
        <w:pStyle w:val="Textoindependiente"/>
        <w:jc w:val="center"/>
        <w:rPr>
          <w:b/>
          <w:color w:val="009999"/>
          <w:sz w:val="14"/>
        </w:rPr>
      </w:pPr>
    </w:p>
    <w:p w:rsidR="00D76B81" w:rsidRPr="00A656F3" w:rsidRDefault="00D76B81" w:rsidP="00D76B81">
      <w:pPr>
        <w:pStyle w:val="Textoindependiente"/>
        <w:rPr>
          <w:b/>
          <w:bCs/>
          <w:sz w:val="32"/>
        </w:rPr>
      </w:pPr>
      <w:r>
        <w:rPr>
          <w:b/>
          <w:bCs/>
          <w:sz w:val="32"/>
        </w:rPr>
        <w:t xml:space="preserve">Suplemento </w:t>
      </w:r>
      <w:r w:rsidRPr="00A656F3">
        <w:rPr>
          <w:b/>
          <w:bCs/>
          <w:sz w:val="32"/>
        </w:rPr>
        <w:t xml:space="preserve">Registro Oficial No. </w:t>
      </w:r>
      <w:r w:rsidRPr="00B0203A">
        <w:rPr>
          <w:b/>
          <w:bCs/>
          <w:sz w:val="32"/>
        </w:rPr>
        <w:t>253,</w:t>
      </w:r>
      <w:r>
        <w:rPr>
          <w:b/>
          <w:bCs/>
          <w:sz w:val="32"/>
        </w:rPr>
        <w:t xml:space="preserve"> 01 de j</w:t>
      </w:r>
      <w:r w:rsidRPr="00B0203A">
        <w:rPr>
          <w:b/>
          <w:bCs/>
          <w:sz w:val="32"/>
        </w:rPr>
        <w:t>unio de 2018</w:t>
      </w:r>
    </w:p>
    <w:p w:rsidR="00B0203A" w:rsidRPr="009E7B82" w:rsidRDefault="00D76B81" w:rsidP="00D76B81">
      <w:pPr>
        <w:pStyle w:val="Textoindependiente"/>
        <w:numPr>
          <w:ilvl w:val="0"/>
          <w:numId w:val="1"/>
        </w:numPr>
        <w:spacing w:after="0"/>
        <w:rPr>
          <w:sz w:val="20"/>
          <w:szCs w:val="20"/>
          <w:highlight w:val="cyan"/>
        </w:rPr>
      </w:pPr>
      <w:r>
        <w:rPr>
          <w:b/>
          <w:color w:val="006666"/>
          <w:sz w:val="20"/>
          <w:szCs w:val="20"/>
        </w:rPr>
        <w:t xml:space="preserve">Decreto </w:t>
      </w:r>
      <w:hyperlink r:id="rId11" w:history="1">
        <w:r w:rsidR="00B0203A" w:rsidRPr="00D76B81">
          <w:rPr>
            <w:b/>
            <w:color w:val="006666"/>
            <w:sz w:val="20"/>
            <w:szCs w:val="20"/>
          </w:rPr>
          <w:t>391</w:t>
        </w:r>
      </w:hyperlink>
      <w:r w:rsidR="00B0203A" w:rsidRPr="00D76B81">
        <w:rPr>
          <w:b/>
          <w:color w:val="006666"/>
          <w:sz w:val="20"/>
          <w:szCs w:val="20"/>
        </w:rPr>
        <w:t xml:space="preserve">: </w:t>
      </w:r>
      <w:r w:rsidR="00B0203A" w:rsidRPr="00D76B81">
        <w:rPr>
          <w:sz w:val="20"/>
          <w:szCs w:val="20"/>
        </w:rPr>
        <w:t xml:space="preserve">Refórmese el </w:t>
      </w:r>
      <w:r w:rsidR="00B0203A" w:rsidRPr="009E7B82">
        <w:rPr>
          <w:sz w:val="20"/>
          <w:szCs w:val="20"/>
          <w:highlight w:val="cyan"/>
        </w:rPr>
        <w:t>Reglamento a la Ley Orgánica de Economía Popular y Solidaria del Sistema Financiero Popular y Solidario, expedido mediante Decreto Ejecutivo 1061, publicado en el Registro Oficial Suplemento No. 648 de 27 de febrero de 2012</w:t>
      </w:r>
      <w:r w:rsidRPr="009E7B82">
        <w:rPr>
          <w:sz w:val="20"/>
          <w:szCs w:val="20"/>
          <w:highlight w:val="cyan"/>
        </w:rPr>
        <w:t>.</w:t>
      </w:r>
    </w:p>
    <w:p w:rsidR="00D76B81" w:rsidRDefault="00D76B81" w:rsidP="00B0203A">
      <w:pPr>
        <w:pStyle w:val="Textoindependiente"/>
        <w:rPr>
          <w:rFonts w:ascii="Tahoma" w:hAnsi="Tahoma" w:cs="Tahoma"/>
          <w:color w:val="404040"/>
          <w:sz w:val="16"/>
          <w:szCs w:val="20"/>
          <w:shd w:val="clear" w:color="auto" w:fill="FFFFFF"/>
        </w:rPr>
      </w:pPr>
    </w:p>
    <w:p w:rsidR="00D76B81" w:rsidRDefault="00D76B81" w:rsidP="00B0203A">
      <w:pPr>
        <w:pStyle w:val="Textoindependiente"/>
        <w:rPr>
          <w:rFonts w:ascii="Tahoma" w:hAnsi="Tahoma" w:cs="Tahoma"/>
          <w:color w:val="404040"/>
          <w:sz w:val="16"/>
          <w:szCs w:val="20"/>
          <w:shd w:val="clear" w:color="auto" w:fill="FFFFFF"/>
        </w:rPr>
        <w:sectPr w:rsidR="00D76B81" w:rsidSect="00A05240">
          <w:type w:val="continuous"/>
          <w:pgSz w:w="11906" w:h="16838"/>
          <w:pgMar w:top="720" w:right="720" w:bottom="720" w:left="720" w:header="708" w:footer="105" w:gutter="0"/>
          <w:cols w:space="708"/>
          <w:docGrid w:linePitch="360"/>
        </w:sectPr>
      </w:pPr>
    </w:p>
    <w:p w:rsidR="00D76B81" w:rsidRPr="00D76B81" w:rsidRDefault="00B0203A" w:rsidP="00D76B81">
      <w:pPr>
        <w:pStyle w:val="Textoindependiente"/>
        <w:jc w:val="center"/>
        <w:rPr>
          <w:rFonts w:ascii="Tahoma" w:hAnsi="Tahoma" w:cs="Tahoma"/>
          <w:b/>
          <w:sz w:val="16"/>
          <w:szCs w:val="20"/>
        </w:rPr>
      </w:pPr>
      <w:r w:rsidRPr="00D76B81">
        <w:rPr>
          <w:rFonts w:ascii="Tahoma" w:hAnsi="Tahoma" w:cs="Tahoma"/>
          <w:b/>
          <w:sz w:val="16"/>
          <w:szCs w:val="20"/>
        </w:rPr>
        <w:lastRenderedPageBreak/>
        <w:t>Decreta:</w:t>
      </w:r>
    </w:p>
    <w:p w:rsidR="00D76B81" w:rsidRPr="00D76B81" w:rsidRDefault="00B0203A" w:rsidP="00B0203A">
      <w:pPr>
        <w:pStyle w:val="Textoindependiente"/>
        <w:rPr>
          <w:rFonts w:ascii="Tahoma" w:hAnsi="Tahoma" w:cs="Tahoma"/>
          <w:sz w:val="16"/>
          <w:szCs w:val="20"/>
        </w:rPr>
      </w:pPr>
      <w:r w:rsidRPr="00D76B81">
        <w:rPr>
          <w:rFonts w:ascii="Tahoma" w:hAnsi="Tahoma" w:cs="Tahoma"/>
          <w:sz w:val="16"/>
          <w:szCs w:val="20"/>
        </w:rPr>
        <w:t>Expedir las siguientes reformas al Reglamento a la Ley Orgánica de Economía Popular y Solidaria del Sistema Financiero Popular y Solidario expedido mediante Decreto Ejecutivo 1061, publicado en el Registro Oficial Suplemento 648 de 27 de febrero de 2012.</w:t>
      </w:r>
      <w:r w:rsidRPr="00D76B81">
        <w:rPr>
          <w:rFonts w:ascii="Tahoma" w:hAnsi="Tahoma" w:cs="Tahoma"/>
          <w:sz w:val="16"/>
          <w:szCs w:val="20"/>
        </w:rPr>
        <w:br/>
      </w:r>
      <w:r w:rsidRPr="00D76B81">
        <w:rPr>
          <w:rFonts w:ascii="Tahoma" w:hAnsi="Tahoma" w:cs="Tahoma"/>
          <w:sz w:val="16"/>
          <w:szCs w:val="20"/>
        </w:rPr>
        <w:br/>
        <w:t>Art. 1.- Suprímase el último inciso del artículo 35.</w:t>
      </w:r>
      <w:r w:rsidRPr="00D76B81">
        <w:rPr>
          <w:rFonts w:ascii="Tahoma" w:hAnsi="Tahoma" w:cs="Tahoma"/>
          <w:sz w:val="16"/>
          <w:szCs w:val="20"/>
        </w:rPr>
        <w:br/>
      </w:r>
      <w:r w:rsidRPr="00D76B81">
        <w:rPr>
          <w:rFonts w:ascii="Tahoma" w:hAnsi="Tahoma" w:cs="Tahoma"/>
          <w:sz w:val="16"/>
          <w:szCs w:val="20"/>
        </w:rPr>
        <w:br/>
        <w:t>Art. 2.- Suprímase el último inciso del artículo 39.</w:t>
      </w:r>
      <w:r w:rsidRPr="00D76B81">
        <w:rPr>
          <w:rFonts w:ascii="Tahoma" w:hAnsi="Tahoma" w:cs="Tahoma"/>
          <w:sz w:val="16"/>
          <w:szCs w:val="20"/>
        </w:rPr>
        <w:br/>
      </w:r>
      <w:r w:rsidRPr="00D76B81">
        <w:rPr>
          <w:rFonts w:ascii="Tahoma" w:hAnsi="Tahoma" w:cs="Tahoma"/>
          <w:sz w:val="16"/>
          <w:szCs w:val="20"/>
        </w:rPr>
        <w:br/>
        <w:t>Art. 3.- Sustitúyase el artículo 41 por el siguiente:</w:t>
      </w:r>
      <w:r w:rsidRPr="00D76B81">
        <w:rPr>
          <w:rFonts w:ascii="Tahoma" w:hAnsi="Tahoma" w:cs="Tahoma"/>
          <w:sz w:val="16"/>
          <w:szCs w:val="20"/>
        </w:rPr>
        <w:br/>
      </w:r>
      <w:r w:rsidRPr="00D76B81">
        <w:rPr>
          <w:rFonts w:ascii="Tahoma" w:hAnsi="Tahoma" w:cs="Tahoma"/>
          <w:sz w:val="16"/>
          <w:szCs w:val="20"/>
        </w:rPr>
        <w:br/>
        <w:t>"Art. 41.- Requisitos.- En el estatuto social de la cooperativa, se determinarán los requisitos para ser vocal de los consejos que contemplarán un tiempo mínimo de pertenencia a la cooperativa; y, acreditar capacitación en el área de sus funciones, antes de su posesión, por un tiempo no inferior a veinte horas, así como también las causales y procedimiento de remoción y subrogación, sin perjuicio de requisitos de profesionalización que pueden ser determinados por el ente regulador de acuerdo con el nivel o segmento al que pertenezca la cooperativa.</w:t>
      </w:r>
      <w:r w:rsidRPr="00D76B81">
        <w:rPr>
          <w:rFonts w:ascii="Tahoma" w:hAnsi="Tahoma" w:cs="Tahoma"/>
          <w:sz w:val="16"/>
          <w:szCs w:val="20"/>
        </w:rPr>
        <w:br/>
      </w:r>
      <w:r w:rsidRPr="00D76B81">
        <w:rPr>
          <w:rFonts w:ascii="Tahoma" w:hAnsi="Tahoma" w:cs="Tahoma"/>
          <w:sz w:val="16"/>
          <w:szCs w:val="20"/>
        </w:rPr>
        <w:br/>
        <w:t>En los consejos no podrán ser elegidos socios que tengan, entre sí, relación conyugal, unión de hecho, o parentesco hasta el cuarto grado de consanguinidad o segundo de afinidad, con excepción de aquellos casos autorizados por la Superintendencia. "</w:t>
      </w:r>
      <w:r w:rsidRPr="00D76B81">
        <w:rPr>
          <w:rFonts w:ascii="Tahoma" w:hAnsi="Tahoma" w:cs="Tahoma"/>
          <w:sz w:val="16"/>
          <w:szCs w:val="20"/>
        </w:rPr>
        <w:br/>
      </w:r>
      <w:r w:rsidRPr="00D76B81">
        <w:rPr>
          <w:rFonts w:ascii="Tahoma" w:hAnsi="Tahoma" w:cs="Tahoma"/>
          <w:sz w:val="16"/>
          <w:szCs w:val="20"/>
        </w:rPr>
        <w:br/>
        <w:t>Art. 4.- Sustitúyase el último inciso del artículo 58 por el siguiente:</w:t>
      </w:r>
      <w:r w:rsidRPr="00D76B81">
        <w:rPr>
          <w:rFonts w:ascii="Tahoma" w:hAnsi="Tahoma" w:cs="Tahoma"/>
          <w:sz w:val="16"/>
          <w:szCs w:val="20"/>
        </w:rPr>
        <w:br/>
      </w:r>
      <w:r w:rsidRPr="00D76B81">
        <w:rPr>
          <w:rFonts w:ascii="Tahoma" w:hAnsi="Tahoma" w:cs="Tahoma"/>
          <w:sz w:val="16"/>
          <w:szCs w:val="20"/>
        </w:rPr>
        <w:lastRenderedPageBreak/>
        <w:br/>
        <w:t>"La Superintendencia podrá designar como liquidador a uno de los servidores públicos de la misma, quien, en el ejercicio de estas actividades, no percibirá remuneración adicional alguna, ni adquirirá relación de dependencia con la organización, pues para estos efectos se considera parte de las funciones propias de su cargo."</w:t>
      </w:r>
      <w:r w:rsidRPr="00D76B81">
        <w:rPr>
          <w:rFonts w:ascii="Tahoma" w:hAnsi="Tahoma" w:cs="Tahoma"/>
          <w:sz w:val="16"/>
          <w:szCs w:val="20"/>
        </w:rPr>
        <w:br/>
      </w:r>
      <w:r w:rsidRPr="00D76B81">
        <w:rPr>
          <w:rFonts w:ascii="Tahoma" w:hAnsi="Tahoma" w:cs="Tahoma"/>
          <w:sz w:val="16"/>
          <w:szCs w:val="20"/>
        </w:rPr>
        <w:br/>
      </w:r>
    </w:p>
    <w:p w:rsidR="00B0203A" w:rsidRPr="00D76B81" w:rsidRDefault="00B0203A" w:rsidP="00B0203A">
      <w:pPr>
        <w:pStyle w:val="Textoindependiente"/>
        <w:rPr>
          <w:rFonts w:ascii="Tahoma" w:hAnsi="Tahoma" w:cs="Tahoma"/>
          <w:sz w:val="16"/>
          <w:szCs w:val="20"/>
        </w:rPr>
      </w:pPr>
      <w:r w:rsidRPr="00D76B81">
        <w:rPr>
          <w:rFonts w:ascii="Tahoma" w:hAnsi="Tahoma" w:cs="Tahoma"/>
          <w:sz w:val="16"/>
          <w:szCs w:val="20"/>
        </w:rPr>
        <w:t>Art. 5.- En el Artículo 59 inclúyase el siguiente numeral:</w:t>
      </w:r>
      <w:r w:rsidRPr="00D76B81">
        <w:rPr>
          <w:rFonts w:ascii="Tahoma" w:hAnsi="Tahoma" w:cs="Tahoma"/>
          <w:sz w:val="16"/>
          <w:szCs w:val="20"/>
        </w:rPr>
        <w:br/>
      </w:r>
      <w:r w:rsidRPr="00D76B81">
        <w:rPr>
          <w:rFonts w:ascii="Tahoma" w:hAnsi="Tahoma" w:cs="Tahoma"/>
          <w:sz w:val="16"/>
          <w:szCs w:val="20"/>
        </w:rPr>
        <w:br/>
        <w:t>"10. Efectuar el registro de socios para la adjudicación de predios de acuerdo a la normativa que para el efecto expedirá la Superintendencia. "</w:t>
      </w:r>
      <w:r w:rsidRPr="00D76B81">
        <w:rPr>
          <w:rFonts w:ascii="Tahoma" w:hAnsi="Tahoma" w:cs="Tahoma"/>
          <w:sz w:val="16"/>
          <w:szCs w:val="20"/>
        </w:rPr>
        <w:br/>
      </w:r>
      <w:r w:rsidRPr="00D76B81">
        <w:rPr>
          <w:rFonts w:ascii="Tahoma" w:hAnsi="Tahoma" w:cs="Tahoma"/>
          <w:sz w:val="16"/>
          <w:szCs w:val="20"/>
        </w:rPr>
        <w:br/>
        <w:t xml:space="preserve">Art. 6.- A continuación del artículo 64 inclúyase el siguiente artículo </w:t>
      </w:r>
      <w:proofErr w:type="spellStart"/>
      <w:r w:rsidRPr="00D76B81">
        <w:rPr>
          <w:rFonts w:ascii="Tahoma" w:hAnsi="Tahoma" w:cs="Tahoma"/>
          <w:sz w:val="16"/>
          <w:szCs w:val="20"/>
        </w:rPr>
        <w:t>innumerado</w:t>
      </w:r>
      <w:proofErr w:type="spellEnd"/>
      <w:r w:rsidRPr="00D76B81">
        <w:rPr>
          <w:rFonts w:ascii="Tahoma" w:hAnsi="Tahoma" w:cs="Tahoma"/>
          <w:sz w:val="16"/>
          <w:szCs w:val="20"/>
        </w:rPr>
        <w:t>:</w:t>
      </w:r>
      <w:r w:rsidRPr="00D76B81">
        <w:rPr>
          <w:rFonts w:ascii="Tahoma" w:hAnsi="Tahoma" w:cs="Tahoma"/>
          <w:sz w:val="16"/>
          <w:szCs w:val="20"/>
        </w:rPr>
        <w:br/>
      </w:r>
      <w:r w:rsidRPr="00D76B81">
        <w:rPr>
          <w:rFonts w:ascii="Tahoma" w:hAnsi="Tahoma" w:cs="Tahoma"/>
          <w:sz w:val="16"/>
          <w:szCs w:val="20"/>
        </w:rPr>
        <w:br/>
        <w:t>"Artículo... Liquidación sumaria.- En aquellos casos en los cuales una organización no haya realizado actividad económica o habiéndola efectuado no tuviere activos, la Superintendencia, a petición de parte, podrá disolver a la organización y liquidar a la misma en un solo acto, sin que sea necesaria la realización de un proceso de liquidación, con base en las disposiciones que emita dicho Órgano de Control.</w:t>
      </w:r>
      <w:r w:rsidRPr="00D76B81">
        <w:rPr>
          <w:rFonts w:ascii="Tahoma" w:hAnsi="Tahoma" w:cs="Tahoma"/>
          <w:sz w:val="16"/>
          <w:szCs w:val="20"/>
        </w:rPr>
        <w:br/>
      </w:r>
      <w:r w:rsidRPr="00D76B81">
        <w:rPr>
          <w:rFonts w:ascii="Tahoma" w:hAnsi="Tahoma" w:cs="Tahoma"/>
          <w:sz w:val="16"/>
          <w:szCs w:val="20"/>
        </w:rPr>
        <w:br/>
        <w:t>El mismo procedimiento aplicará en el caso de liquidación forzosa cuando la entidad no registre activos o no haya realizado actividad económica. "</w:t>
      </w:r>
      <w:r w:rsidRPr="00D76B81">
        <w:rPr>
          <w:rFonts w:ascii="Tahoma" w:hAnsi="Tahoma" w:cs="Tahoma"/>
          <w:sz w:val="16"/>
          <w:szCs w:val="20"/>
        </w:rPr>
        <w:br/>
      </w:r>
      <w:r w:rsidRPr="00D76B81">
        <w:rPr>
          <w:rFonts w:ascii="Tahoma" w:hAnsi="Tahoma" w:cs="Tahoma"/>
          <w:sz w:val="16"/>
          <w:szCs w:val="20"/>
        </w:rPr>
        <w:lastRenderedPageBreak/>
        <w:br/>
        <w:t>Art. 7.- Sustitúyase el numeral 3 del artículo 116 por el siguiente:</w:t>
      </w:r>
      <w:r w:rsidRPr="00D76B81">
        <w:rPr>
          <w:rFonts w:ascii="Tahoma" w:hAnsi="Tahoma" w:cs="Tahoma"/>
          <w:sz w:val="16"/>
          <w:szCs w:val="20"/>
        </w:rPr>
        <w:br/>
      </w:r>
      <w:r w:rsidRPr="00D76B81">
        <w:rPr>
          <w:rFonts w:ascii="Tahoma" w:hAnsi="Tahoma" w:cs="Tahoma"/>
          <w:sz w:val="16"/>
          <w:szCs w:val="20"/>
        </w:rPr>
        <w:br/>
        <w:t>"3. Prestar servicios de provisión y abastecimiento de materia prima, herramientas, insumos, repuestos, educación y capacitación, y otros relacionados con su actividad económica;"</w:t>
      </w:r>
      <w:r w:rsidRPr="00D76B81">
        <w:rPr>
          <w:rFonts w:ascii="Tahoma" w:hAnsi="Tahoma" w:cs="Tahoma"/>
          <w:sz w:val="16"/>
          <w:szCs w:val="20"/>
        </w:rPr>
        <w:br/>
      </w:r>
      <w:r w:rsidRPr="00D76B81">
        <w:rPr>
          <w:rFonts w:ascii="Tahoma" w:hAnsi="Tahoma" w:cs="Tahoma"/>
          <w:sz w:val="16"/>
          <w:szCs w:val="20"/>
        </w:rPr>
        <w:br/>
        <w:t>Art. 8.- Sustitúyase el artículo 119 por el siguiente:</w:t>
      </w:r>
      <w:r w:rsidRPr="00D76B81">
        <w:rPr>
          <w:rFonts w:ascii="Tahoma" w:hAnsi="Tahoma" w:cs="Tahoma"/>
          <w:sz w:val="16"/>
          <w:szCs w:val="20"/>
        </w:rPr>
        <w:br/>
      </w:r>
      <w:r w:rsidRPr="00D76B81">
        <w:rPr>
          <w:rFonts w:ascii="Tahoma" w:hAnsi="Tahoma" w:cs="Tahoma"/>
          <w:sz w:val="16"/>
          <w:szCs w:val="20"/>
        </w:rPr>
        <w:br/>
        <w:t>"Artículo 119.- Capital social y mínimo de socios.- Los organismos de integración representativa se constituirán con el mínimo de socios y capital social inicial que determine el ente regulador."</w:t>
      </w:r>
      <w:r w:rsidRPr="00D76B81">
        <w:rPr>
          <w:rFonts w:ascii="Tahoma" w:hAnsi="Tahoma" w:cs="Tahoma"/>
          <w:sz w:val="16"/>
          <w:szCs w:val="20"/>
        </w:rPr>
        <w:br/>
      </w:r>
      <w:r w:rsidRPr="00D76B81">
        <w:rPr>
          <w:rFonts w:ascii="Tahoma" w:hAnsi="Tahoma" w:cs="Tahoma"/>
          <w:sz w:val="16"/>
          <w:szCs w:val="20"/>
        </w:rPr>
        <w:br/>
        <w:t>Art. 9.- Sustitúyase el artículo 138 por el siguiente:</w:t>
      </w:r>
      <w:r w:rsidRPr="00D76B81">
        <w:rPr>
          <w:rFonts w:ascii="Tahoma" w:hAnsi="Tahoma" w:cs="Tahoma"/>
          <w:sz w:val="16"/>
          <w:szCs w:val="20"/>
        </w:rPr>
        <w:br/>
      </w:r>
      <w:r w:rsidRPr="00D76B81">
        <w:rPr>
          <w:rFonts w:ascii="Tahoma" w:hAnsi="Tahoma" w:cs="Tahoma"/>
          <w:sz w:val="16"/>
          <w:szCs w:val="20"/>
        </w:rPr>
        <w:br/>
        <w:t>"Artículo 138.- Integración y atribuciones.- El Comité Interinstitucional, estará integrado por:</w:t>
      </w:r>
      <w:r w:rsidRPr="00D76B81">
        <w:rPr>
          <w:rFonts w:ascii="Tahoma" w:hAnsi="Tahoma" w:cs="Tahoma"/>
          <w:sz w:val="16"/>
          <w:szCs w:val="20"/>
        </w:rPr>
        <w:br/>
      </w:r>
      <w:r w:rsidRPr="00D76B81">
        <w:rPr>
          <w:rFonts w:ascii="Tahoma" w:hAnsi="Tahoma" w:cs="Tahoma"/>
          <w:sz w:val="16"/>
          <w:szCs w:val="20"/>
        </w:rPr>
        <w:br/>
        <w:t>1 El o la titular de la Vicepresidencia de la República, quien presidirá el Comité Interinstitucional por delegación del Presidente de la República, y contará con voto dirimente;</w:t>
      </w:r>
      <w:r w:rsidRPr="00D76B81">
        <w:rPr>
          <w:rFonts w:ascii="Tahoma" w:hAnsi="Tahoma" w:cs="Tahoma"/>
          <w:sz w:val="16"/>
          <w:szCs w:val="20"/>
        </w:rPr>
        <w:br/>
      </w:r>
      <w:r w:rsidRPr="00D76B81">
        <w:rPr>
          <w:rFonts w:ascii="Tahoma" w:hAnsi="Tahoma" w:cs="Tahoma"/>
          <w:sz w:val="16"/>
          <w:szCs w:val="20"/>
        </w:rPr>
        <w:br/>
        <w:t>2 El o la titular del Ministerio Inclusión Económica y Social;</w:t>
      </w:r>
      <w:r w:rsidRPr="00D76B81">
        <w:rPr>
          <w:rFonts w:ascii="Tahoma" w:hAnsi="Tahoma" w:cs="Tahoma"/>
          <w:sz w:val="16"/>
          <w:szCs w:val="20"/>
        </w:rPr>
        <w:br/>
      </w:r>
      <w:r w:rsidRPr="00D76B81">
        <w:rPr>
          <w:rFonts w:ascii="Tahoma" w:hAnsi="Tahoma" w:cs="Tahoma"/>
          <w:sz w:val="16"/>
          <w:szCs w:val="20"/>
        </w:rPr>
        <w:br/>
        <w:t>3 El o la titular del Ministerio de Economía y Finanzas;</w:t>
      </w:r>
      <w:r w:rsidRPr="00D76B81">
        <w:rPr>
          <w:rFonts w:ascii="Tahoma" w:hAnsi="Tahoma" w:cs="Tahoma"/>
          <w:sz w:val="16"/>
          <w:szCs w:val="20"/>
        </w:rPr>
        <w:br/>
      </w:r>
      <w:r w:rsidRPr="00D76B81">
        <w:rPr>
          <w:rFonts w:ascii="Tahoma" w:hAnsi="Tahoma" w:cs="Tahoma"/>
          <w:sz w:val="16"/>
          <w:szCs w:val="20"/>
        </w:rPr>
        <w:br/>
        <w:t>4 El o la titular del Ministerio de Industrias y la Productividad;</w:t>
      </w:r>
      <w:r w:rsidRPr="00D76B81">
        <w:rPr>
          <w:rFonts w:ascii="Tahoma" w:hAnsi="Tahoma" w:cs="Tahoma"/>
          <w:sz w:val="16"/>
          <w:szCs w:val="20"/>
        </w:rPr>
        <w:br/>
      </w:r>
      <w:r w:rsidRPr="00D76B81">
        <w:rPr>
          <w:rFonts w:ascii="Tahoma" w:hAnsi="Tahoma" w:cs="Tahoma"/>
          <w:sz w:val="16"/>
          <w:szCs w:val="20"/>
        </w:rPr>
        <w:br/>
        <w:t>5 El o la titular del Ministerio de Agricultura y Ganadería;</w:t>
      </w:r>
      <w:r w:rsidRPr="00D76B81">
        <w:rPr>
          <w:rFonts w:ascii="Tahoma" w:hAnsi="Tahoma" w:cs="Tahoma"/>
          <w:sz w:val="16"/>
          <w:szCs w:val="20"/>
        </w:rPr>
        <w:br/>
      </w:r>
      <w:r w:rsidRPr="00D76B81">
        <w:rPr>
          <w:rFonts w:ascii="Tahoma" w:hAnsi="Tahoma" w:cs="Tahoma"/>
          <w:sz w:val="16"/>
          <w:szCs w:val="20"/>
        </w:rPr>
        <w:br/>
        <w:t>6 El o la titular del Ministerio Acuacultura y Pesca; y,</w:t>
      </w:r>
      <w:r w:rsidRPr="00D76B81">
        <w:rPr>
          <w:rFonts w:ascii="Tahoma" w:hAnsi="Tahoma" w:cs="Tahoma"/>
          <w:sz w:val="16"/>
          <w:szCs w:val="20"/>
        </w:rPr>
        <w:br/>
      </w:r>
      <w:r w:rsidRPr="00D76B81">
        <w:rPr>
          <w:rFonts w:ascii="Tahoma" w:hAnsi="Tahoma" w:cs="Tahoma"/>
          <w:sz w:val="16"/>
          <w:szCs w:val="20"/>
        </w:rPr>
        <w:br/>
        <w:t>7 El o la titular del Ministerio de Transporte y Obras Públicas.</w:t>
      </w:r>
      <w:r w:rsidRPr="00D76B81">
        <w:rPr>
          <w:rFonts w:ascii="Tahoma" w:hAnsi="Tahoma" w:cs="Tahoma"/>
          <w:sz w:val="16"/>
          <w:szCs w:val="20"/>
        </w:rPr>
        <w:br/>
      </w:r>
      <w:r w:rsidRPr="00D76B81">
        <w:rPr>
          <w:rFonts w:ascii="Tahoma" w:hAnsi="Tahoma" w:cs="Tahoma"/>
          <w:sz w:val="16"/>
          <w:szCs w:val="20"/>
        </w:rPr>
        <w:br/>
        <w:t xml:space="preserve">El Comité podrá invitar a otros Ministerios y/o instituciones financieras de carácter público, que actuarán con derecho a voz, con el fin de articular acciones para la implementación de la política de </w:t>
      </w:r>
      <w:r w:rsidRPr="00D76B81">
        <w:rPr>
          <w:rFonts w:ascii="Tahoma" w:hAnsi="Tahoma" w:cs="Tahoma"/>
          <w:sz w:val="16"/>
          <w:szCs w:val="20"/>
        </w:rPr>
        <w:lastRenderedPageBreak/>
        <w:t>Economía Popular y Solidaria.</w:t>
      </w:r>
      <w:r w:rsidRPr="00D76B81">
        <w:rPr>
          <w:rFonts w:ascii="Tahoma" w:hAnsi="Tahoma" w:cs="Tahoma"/>
          <w:sz w:val="16"/>
          <w:szCs w:val="20"/>
        </w:rPr>
        <w:br/>
      </w:r>
      <w:r w:rsidRPr="00D76B81">
        <w:rPr>
          <w:rFonts w:ascii="Tahoma" w:hAnsi="Tahoma" w:cs="Tahoma"/>
          <w:sz w:val="16"/>
          <w:szCs w:val="20"/>
        </w:rPr>
        <w:br/>
        <w:t>Son atribuciones del Comité Interinstitucional, las siguientes:</w:t>
      </w:r>
      <w:r w:rsidRPr="00D76B81">
        <w:rPr>
          <w:rFonts w:ascii="Tahoma" w:hAnsi="Tahoma" w:cs="Tahoma"/>
          <w:sz w:val="16"/>
          <w:szCs w:val="20"/>
        </w:rPr>
        <w:br/>
      </w:r>
      <w:r w:rsidRPr="00D76B81">
        <w:rPr>
          <w:rFonts w:ascii="Tahoma" w:hAnsi="Tahoma" w:cs="Tahoma"/>
          <w:sz w:val="16"/>
          <w:szCs w:val="20"/>
        </w:rPr>
        <w:br/>
        <w:t>a. Dictar y coordinar las políticas de fomento, promoción, incentivos, funcionamiento y control de las actividades de las personas y organizaciones sujetas a la ley;</w:t>
      </w:r>
      <w:r w:rsidRPr="00D76B81">
        <w:rPr>
          <w:rFonts w:ascii="Tahoma" w:hAnsi="Tahoma" w:cs="Tahoma"/>
          <w:sz w:val="16"/>
          <w:szCs w:val="20"/>
        </w:rPr>
        <w:br/>
      </w:r>
      <w:r w:rsidRPr="00D76B81">
        <w:rPr>
          <w:rFonts w:ascii="Tahoma" w:hAnsi="Tahoma" w:cs="Tahoma"/>
          <w:sz w:val="16"/>
          <w:szCs w:val="20"/>
        </w:rPr>
        <w:br/>
        <w:t>b. Evaluar el cumplimiento de las políticas públicas;</w:t>
      </w:r>
      <w:r w:rsidRPr="00D76B81">
        <w:rPr>
          <w:rFonts w:ascii="Tahoma" w:hAnsi="Tahoma" w:cs="Tahoma"/>
          <w:sz w:val="16"/>
          <w:szCs w:val="20"/>
        </w:rPr>
        <w:br/>
      </w:r>
      <w:r w:rsidRPr="00D76B81">
        <w:rPr>
          <w:rFonts w:ascii="Tahoma" w:hAnsi="Tahoma" w:cs="Tahoma"/>
          <w:sz w:val="16"/>
          <w:szCs w:val="20"/>
        </w:rPr>
        <w:br/>
        <w:t>c. Conocer y aprobar los informes de labores anuales de los entes de regulación;</w:t>
      </w:r>
      <w:r w:rsidRPr="00D76B81">
        <w:rPr>
          <w:rFonts w:ascii="Tahoma" w:hAnsi="Tahoma" w:cs="Tahoma"/>
          <w:sz w:val="16"/>
          <w:szCs w:val="20"/>
        </w:rPr>
        <w:br/>
      </w:r>
      <w:r w:rsidRPr="00D76B81">
        <w:rPr>
          <w:rFonts w:ascii="Tahoma" w:hAnsi="Tahoma" w:cs="Tahoma"/>
          <w:sz w:val="16"/>
          <w:szCs w:val="20"/>
        </w:rPr>
        <w:br/>
        <w:t>d. Conocer la memoria anual del Superintendente;</w:t>
      </w:r>
      <w:r w:rsidRPr="00D76B81">
        <w:rPr>
          <w:rFonts w:ascii="Tahoma" w:hAnsi="Tahoma" w:cs="Tahoma"/>
          <w:sz w:val="16"/>
          <w:szCs w:val="20"/>
        </w:rPr>
        <w:br/>
      </w:r>
      <w:r w:rsidRPr="00D76B81">
        <w:rPr>
          <w:rFonts w:ascii="Tahoma" w:hAnsi="Tahoma" w:cs="Tahoma"/>
          <w:sz w:val="16"/>
          <w:szCs w:val="20"/>
        </w:rPr>
        <w:br/>
        <w:t>e. Solicitar informes en cualquier momento a los organismos de regulación y de control; y,</w:t>
      </w:r>
      <w:r w:rsidRPr="00D76B81">
        <w:rPr>
          <w:rFonts w:ascii="Tahoma" w:hAnsi="Tahoma" w:cs="Tahoma"/>
          <w:sz w:val="16"/>
          <w:szCs w:val="20"/>
        </w:rPr>
        <w:br/>
      </w:r>
      <w:r w:rsidRPr="00D76B81">
        <w:rPr>
          <w:rFonts w:ascii="Tahoma" w:hAnsi="Tahoma" w:cs="Tahoma"/>
          <w:sz w:val="16"/>
          <w:szCs w:val="20"/>
        </w:rPr>
        <w:br/>
        <w:t>f. Dictar política para la elaboración del Plan Nacional de Capacitación en Economía Popular y Solidaria.</w:t>
      </w:r>
      <w:r w:rsidRPr="00D76B81">
        <w:rPr>
          <w:rFonts w:ascii="Tahoma" w:hAnsi="Tahoma" w:cs="Tahoma"/>
          <w:sz w:val="16"/>
          <w:szCs w:val="20"/>
        </w:rPr>
        <w:br/>
      </w:r>
      <w:r w:rsidRPr="00D76B81">
        <w:rPr>
          <w:rFonts w:ascii="Tahoma" w:hAnsi="Tahoma" w:cs="Tahoma"/>
          <w:sz w:val="16"/>
          <w:szCs w:val="20"/>
        </w:rPr>
        <w:br/>
        <w:t>La Vicepresidencia de la República será la encargada de coordinar y concertar propuestas de políticas públicas para fortalecer y articular el sector real y el sector financiero popular y solidario; para cuyo efecto adecuará su estructura organizacional."</w:t>
      </w:r>
      <w:r w:rsidRPr="00D76B81">
        <w:rPr>
          <w:rFonts w:ascii="Tahoma" w:hAnsi="Tahoma" w:cs="Tahoma"/>
          <w:sz w:val="16"/>
          <w:szCs w:val="20"/>
        </w:rPr>
        <w:br/>
      </w:r>
      <w:r w:rsidRPr="00D76B81">
        <w:rPr>
          <w:rFonts w:ascii="Tahoma" w:hAnsi="Tahoma" w:cs="Tahoma"/>
          <w:sz w:val="16"/>
          <w:szCs w:val="20"/>
        </w:rPr>
        <w:br/>
        <w:t>Art. 10.- En el artículo 154 inclúyase el siguiente numeral:</w:t>
      </w:r>
      <w:r w:rsidRPr="00D76B81">
        <w:rPr>
          <w:rFonts w:ascii="Tahoma" w:hAnsi="Tahoma" w:cs="Tahoma"/>
          <w:sz w:val="16"/>
          <w:szCs w:val="20"/>
        </w:rPr>
        <w:br/>
      </w:r>
      <w:r w:rsidRPr="00D76B81">
        <w:rPr>
          <w:rFonts w:ascii="Tahoma" w:hAnsi="Tahoma" w:cs="Tahoma"/>
          <w:sz w:val="16"/>
          <w:szCs w:val="20"/>
        </w:rPr>
        <w:br/>
        <w:t>"6. Disponer los niveles y requisitos por los que las organizaciones del sector no financiero bajo su control, deberán contar con auditores internos o externos."</w:t>
      </w:r>
      <w:r w:rsidRPr="00D76B81">
        <w:rPr>
          <w:rFonts w:ascii="Tahoma" w:hAnsi="Tahoma" w:cs="Tahoma"/>
          <w:sz w:val="16"/>
          <w:szCs w:val="20"/>
        </w:rPr>
        <w:br/>
      </w:r>
      <w:r w:rsidRPr="00D76B81">
        <w:rPr>
          <w:rFonts w:ascii="Tahoma" w:hAnsi="Tahoma" w:cs="Tahoma"/>
          <w:sz w:val="16"/>
          <w:szCs w:val="20"/>
        </w:rPr>
        <w:br/>
        <w:t>Y los actuales numerales 6 y 7, pasen a ser 7 y 8, respectivamente.</w:t>
      </w:r>
      <w:r w:rsidRPr="00D76B81">
        <w:rPr>
          <w:rFonts w:ascii="Tahoma" w:hAnsi="Tahoma" w:cs="Tahoma"/>
          <w:sz w:val="16"/>
          <w:szCs w:val="20"/>
        </w:rPr>
        <w:br/>
      </w:r>
      <w:r w:rsidRPr="00D76B81">
        <w:rPr>
          <w:rFonts w:ascii="Tahoma" w:hAnsi="Tahoma" w:cs="Tahoma"/>
          <w:sz w:val="16"/>
          <w:szCs w:val="20"/>
        </w:rPr>
        <w:br/>
      </w:r>
      <w:r w:rsidRPr="00D76B81">
        <w:rPr>
          <w:rFonts w:ascii="Tahoma" w:hAnsi="Tahoma" w:cs="Tahoma"/>
          <w:b/>
          <w:sz w:val="16"/>
          <w:szCs w:val="20"/>
        </w:rPr>
        <w:t>DISPOSICIÓN FINAL.-</w:t>
      </w:r>
      <w:r w:rsidRPr="00D76B81">
        <w:rPr>
          <w:rFonts w:ascii="Tahoma" w:hAnsi="Tahoma" w:cs="Tahoma"/>
          <w:sz w:val="16"/>
          <w:szCs w:val="20"/>
        </w:rPr>
        <w:t> La presente reforma entrará en vigencia partir de su publicación en el Registro Oficial.</w:t>
      </w:r>
    </w:p>
    <w:p w:rsidR="00D76B81" w:rsidRPr="00D76B81" w:rsidRDefault="00D76B81" w:rsidP="00B0203A">
      <w:pPr>
        <w:pStyle w:val="Textoindependiente"/>
        <w:jc w:val="center"/>
        <w:rPr>
          <w:rFonts w:ascii="Tahoma" w:hAnsi="Tahoma" w:cs="Tahoma"/>
          <w:sz w:val="16"/>
          <w:szCs w:val="20"/>
        </w:rPr>
        <w:sectPr w:rsidR="00D76B81" w:rsidRPr="00D76B81" w:rsidSect="00D76B81">
          <w:type w:val="continuous"/>
          <w:pgSz w:w="11906" w:h="16838"/>
          <w:pgMar w:top="720" w:right="720" w:bottom="720" w:left="720" w:header="708" w:footer="105" w:gutter="0"/>
          <w:cols w:num="2" w:space="708"/>
          <w:docGrid w:linePitch="360"/>
        </w:sectPr>
      </w:pPr>
    </w:p>
    <w:p w:rsidR="00D76B81" w:rsidRDefault="00D76B81" w:rsidP="00B0203A">
      <w:pPr>
        <w:pStyle w:val="Textoindependiente"/>
        <w:jc w:val="center"/>
        <w:rPr>
          <w:b/>
          <w:color w:val="808080" w:themeColor="background1" w:themeShade="80"/>
          <w:sz w:val="32"/>
        </w:rPr>
      </w:pPr>
    </w:p>
    <w:p w:rsidR="00B0203A" w:rsidRPr="00B0203A" w:rsidRDefault="00B0203A" w:rsidP="00B0203A">
      <w:pPr>
        <w:pStyle w:val="Textoindependiente"/>
        <w:jc w:val="center"/>
        <w:rPr>
          <w:b/>
          <w:color w:val="808080" w:themeColor="background1" w:themeShade="80"/>
          <w:sz w:val="32"/>
        </w:rPr>
      </w:pPr>
      <w:r w:rsidRPr="00B0203A">
        <w:rPr>
          <w:b/>
          <w:color w:val="808080" w:themeColor="background1" w:themeShade="80"/>
          <w:sz w:val="32"/>
        </w:rPr>
        <w:t>FUNCIÓN LEGISLATIVA</w:t>
      </w:r>
    </w:p>
    <w:p w:rsidR="009E7B82" w:rsidRDefault="009E7B82" w:rsidP="009E7B82">
      <w:pPr>
        <w:pStyle w:val="Textoindependiente"/>
        <w:spacing w:after="0"/>
        <w:rPr>
          <w:b/>
          <w:color w:val="009999"/>
          <w:sz w:val="32"/>
        </w:rPr>
      </w:pPr>
      <w:r w:rsidRPr="009E7B82">
        <w:rPr>
          <w:b/>
          <w:color w:val="009999"/>
          <w:sz w:val="32"/>
        </w:rPr>
        <w:t>SERVICIO DE RENTAS INTERNAS:</w:t>
      </w:r>
    </w:p>
    <w:p w:rsidR="009E7B82" w:rsidRPr="009E7B82" w:rsidRDefault="009E7B82" w:rsidP="009E7B82">
      <w:pPr>
        <w:pStyle w:val="Textoindependiente"/>
        <w:spacing w:after="0"/>
        <w:rPr>
          <w:b/>
          <w:color w:val="006666"/>
          <w:sz w:val="20"/>
          <w:szCs w:val="20"/>
        </w:rPr>
      </w:pPr>
    </w:p>
    <w:p w:rsidR="00977482" w:rsidRPr="009E7B82" w:rsidRDefault="00977482" w:rsidP="00977482">
      <w:pPr>
        <w:pStyle w:val="Textoindependiente"/>
        <w:spacing w:after="0"/>
        <w:rPr>
          <w:b/>
          <w:bCs/>
          <w:sz w:val="32"/>
        </w:rPr>
      </w:pPr>
      <w:r w:rsidRPr="009E7B82">
        <w:rPr>
          <w:b/>
          <w:bCs/>
          <w:sz w:val="32"/>
        </w:rPr>
        <w:t xml:space="preserve">Segundo Suplemento </w:t>
      </w:r>
      <w:r w:rsidR="009E7B82">
        <w:rPr>
          <w:b/>
          <w:bCs/>
          <w:sz w:val="32"/>
        </w:rPr>
        <w:t xml:space="preserve">Registro Oficial </w:t>
      </w:r>
      <w:r w:rsidRPr="009E7B82">
        <w:rPr>
          <w:b/>
          <w:bCs/>
          <w:sz w:val="32"/>
        </w:rPr>
        <w:t>No. 255,</w:t>
      </w:r>
      <w:r w:rsidR="009E7B82">
        <w:rPr>
          <w:b/>
          <w:bCs/>
          <w:sz w:val="32"/>
        </w:rPr>
        <w:t xml:space="preserve"> </w:t>
      </w:r>
      <w:r w:rsidRPr="009E7B82">
        <w:rPr>
          <w:b/>
          <w:bCs/>
          <w:sz w:val="32"/>
        </w:rPr>
        <w:t xml:space="preserve">05 de </w:t>
      </w:r>
      <w:r w:rsidR="009E7B82">
        <w:rPr>
          <w:b/>
          <w:bCs/>
          <w:sz w:val="32"/>
        </w:rPr>
        <w:t>j</w:t>
      </w:r>
      <w:r w:rsidRPr="009E7B82">
        <w:rPr>
          <w:b/>
          <w:bCs/>
          <w:sz w:val="32"/>
        </w:rPr>
        <w:t>unio de 2018</w:t>
      </w:r>
    </w:p>
    <w:p w:rsidR="009E7B82" w:rsidRPr="009E7B82" w:rsidRDefault="009E7B82" w:rsidP="009E7B82">
      <w:pPr>
        <w:pStyle w:val="Textoindependiente"/>
        <w:spacing w:after="0"/>
        <w:ind w:left="720"/>
        <w:rPr>
          <w:b/>
          <w:color w:val="006666"/>
          <w:sz w:val="20"/>
          <w:szCs w:val="20"/>
        </w:rPr>
      </w:pPr>
    </w:p>
    <w:p w:rsidR="009E7B82" w:rsidRPr="009E7B82" w:rsidRDefault="009E7B82" w:rsidP="009E7B82">
      <w:pPr>
        <w:pStyle w:val="Textoindependiente"/>
        <w:numPr>
          <w:ilvl w:val="0"/>
          <w:numId w:val="1"/>
        </w:numPr>
        <w:spacing w:after="0"/>
        <w:rPr>
          <w:sz w:val="20"/>
          <w:szCs w:val="20"/>
        </w:rPr>
      </w:pPr>
      <w:r>
        <w:rPr>
          <w:b/>
          <w:color w:val="006666"/>
          <w:sz w:val="20"/>
          <w:szCs w:val="20"/>
        </w:rPr>
        <w:t xml:space="preserve">Resolución </w:t>
      </w:r>
      <w:hyperlink r:id="rId12" w:history="1">
        <w:r w:rsidR="00977482" w:rsidRPr="009E7B82">
          <w:rPr>
            <w:b/>
            <w:color w:val="006666"/>
            <w:sz w:val="20"/>
            <w:szCs w:val="20"/>
          </w:rPr>
          <w:t>NAC-DGERCGC18-00000214</w:t>
        </w:r>
      </w:hyperlink>
      <w:r w:rsidR="00977482" w:rsidRPr="009E7B82">
        <w:rPr>
          <w:b/>
          <w:color w:val="006666"/>
          <w:sz w:val="20"/>
          <w:szCs w:val="20"/>
        </w:rPr>
        <w:t xml:space="preserve">: </w:t>
      </w:r>
      <w:r w:rsidR="00977482" w:rsidRPr="009E7B82">
        <w:rPr>
          <w:sz w:val="20"/>
          <w:szCs w:val="20"/>
        </w:rPr>
        <w:t>Refórmese la Resolución No. NAC-DGERCGC13-00382, publicada en el Suplemento del Registro Oficial No. 61 de 19 de agosto del 2013</w:t>
      </w:r>
      <w:r w:rsidRPr="009E7B82">
        <w:rPr>
          <w:sz w:val="20"/>
          <w:szCs w:val="20"/>
        </w:rPr>
        <w:t>.</w:t>
      </w:r>
    </w:p>
    <w:p w:rsidR="009E7B82" w:rsidRPr="009E7B82" w:rsidRDefault="009E7B82" w:rsidP="009E7B82">
      <w:pPr>
        <w:pStyle w:val="Textoindependiente"/>
        <w:spacing w:after="0"/>
        <w:ind w:left="720"/>
        <w:rPr>
          <w:sz w:val="20"/>
          <w:szCs w:val="20"/>
        </w:rPr>
      </w:pPr>
    </w:p>
    <w:p w:rsidR="009E7B82" w:rsidRDefault="009E7B82" w:rsidP="00977482">
      <w:pPr>
        <w:pStyle w:val="Textoindependiente"/>
        <w:spacing w:after="0"/>
        <w:rPr>
          <w:rFonts w:ascii="Tahoma" w:hAnsi="Tahoma" w:cs="Tahoma"/>
          <w:sz w:val="16"/>
          <w:szCs w:val="21"/>
          <w:shd w:val="clear" w:color="auto" w:fill="FFFFFF"/>
        </w:rPr>
        <w:sectPr w:rsidR="009E7B82" w:rsidSect="00A05240">
          <w:type w:val="continuous"/>
          <w:pgSz w:w="11906" w:h="16838"/>
          <w:pgMar w:top="720" w:right="720" w:bottom="720" w:left="720" w:header="708" w:footer="105" w:gutter="0"/>
          <w:cols w:space="708"/>
          <w:docGrid w:linePitch="360"/>
        </w:sectPr>
      </w:pPr>
    </w:p>
    <w:p w:rsidR="009E7B82" w:rsidRPr="009E7B82" w:rsidRDefault="009E7B82" w:rsidP="009E7B82">
      <w:pPr>
        <w:pStyle w:val="Textoindependiente"/>
        <w:spacing w:after="0"/>
        <w:jc w:val="center"/>
        <w:rPr>
          <w:rFonts w:ascii="Tahoma" w:hAnsi="Tahoma" w:cs="Tahoma"/>
          <w:b/>
          <w:sz w:val="16"/>
          <w:szCs w:val="21"/>
          <w:shd w:val="clear" w:color="auto" w:fill="FFFFFF"/>
        </w:rPr>
      </w:pPr>
      <w:r w:rsidRPr="009E7B82">
        <w:rPr>
          <w:rFonts w:ascii="Tahoma" w:hAnsi="Tahoma" w:cs="Tahoma"/>
          <w:b/>
          <w:sz w:val="16"/>
          <w:szCs w:val="21"/>
          <w:shd w:val="clear" w:color="auto" w:fill="FFFFFF"/>
        </w:rPr>
        <w:lastRenderedPageBreak/>
        <w:t>Resuelve:</w:t>
      </w:r>
    </w:p>
    <w:p w:rsidR="009E7B82" w:rsidRDefault="009E7B82" w:rsidP="00977482">
      <w:pPr>
        <w:pStyle w:val="Textoindependiente"/>
        <w:spacing w:after="0"/>
        <w:rPr>
          <w:rFonts w:ascii="Arial" w:hAnsi="Arial" w:cs="Arial"/>
          <w:color w:val="76838F"/>
        </w:rPr>
        <w:sectPr w:rsidR="009E7B82" w:rsidSect="009E7B82">
          <w:type w:val="continuous"/>
          <w:pgSz w:w="11906" w:h="16838"/>
          <w:pgMar w:top="720" w:right="720" w:bottom="720" w:left="720" w:header="708" w:footer="105" w:gutter="0"/>
          <w:cols w:num="2" w:space="708"/>
          <w:docGrid w:linePitch="360"/>
        </w:sectPr>
      </w:pPr>
      <w:r w:rsidRPr="009E7B82">
        <w:rPr>
          <w:rFonts w:ascii="Tahoma" w:hAnsi="Tahoma" w:cs="Tahoma"/>
          <w:sz w:val="16"/>
          <w:szCs w:val="21"/>
        </w:rPr>
        <w:br/>
      </w:r>
      <w:r w:rsidRPr="009E7B82">
        <w:rPr>
          <w:rFonts w:ascii="Tahoma" w:hAnsi="Tahoma" w:cs="Tahoma"/>
          <w:sz w:val="16"/>
          <w:szCs w:val="21"/>
          <w:shd w:val="clear" w:color="auto" w:fill="FFFFFF"/>
        </w:rPr>
        <w:t>REFORMAR LA RESOLUCIÓN No. NAC-DGERCGC13-00382, PUBLICADA EN EL PRIMER SUPLEMENTO DEL REGISTRO OFICIAL No. 61 de 19 DE AGOSTO DEL 2013</w:t>
      </w:r>
      <w:r w:rsidRPr="009E7B82">
        <w:rPr>
          <w:rFonts w:ascii="Tahoma" w:hAnsi="Tahoma" w:cs="Tahoma"/>
          <w:sz w:val="16"/>
          <w:szCs w:val="21"/>
          <w:shd w:val="clear" w:color="auto" w:fill="FFFFFF"/>
        </w:rPr>
        <w:br/>
      </w:r>
      <w:r w:rsidRPr="009E7B82">
        <w:rPr>
          <w:rFonts w:ascii="Tahoma" w:hAnsi="Tahoma" w:cs="Tahoma"/>
          <w:sz w:val="16"/>
          <w:szCs w:val="21"/>
        </w:rPr>
        <w:br/>
      </w:r>
      <w:r w:rsidRPr="009E7B82">
        <w:rPr>
          <w:rFonts w:ascii="Tahoma" w:hAnsi="Tahoma" w:cs="Tahoma"/>
          <w:b/>
          <w:sz w:val="16"/>
          <w:szCs w:val="21"/>
          <w:shd w:val="clear" w:color="auto" w:fill="FFFFFF"/>
        </w:rPr>
        <w:t>Artículo Único.-</w:t>
      </w:r>
      <w:r w:rsidRPr="009E7B82">
        <w:rPr>
          <w:rFonts w:ascii="Tahoma" w:hAnsi="Tahoma" w:cs="Tahoma"/>
          <w:sz w:val="16"/>
          <w:szCs w:val="21"/>
          <w:shd w:val="clear" w:color="auto" w:fill="FFFFFF"/>
        </w:rPr>
        <w:t> En el artículo 1 de la resolución No. NAC-DGERCGC13-00382, publicada en el Primer Suplemento del Registro Oficial No. 61 del 19 de agosto de 2013, agréguese a continuación de la frase "o ciudadanía del adquirente" el siguiente texto:</w:t>
      </w:r>
      <w:r w:rsidRPr="009E7B82">
        <w:rPr>
          <w:rFonts w:ascii="Tahoma" w:hAnsi="Tahoma" w:cs="Tahoma"/>
          <w:sz w:val="16"/>
          <w:szCs w:val="21"/>
        </w:rPr>
        <w:br/>
      </w:r>
      <w:r w:rsidRPr="009E7B82">
        <w:rPr>
          <w:rFonts w:ascii="Tahoma" w:hAnsi="Tahoma" w:cs="Tahoma"/>
          <w:sz w:val="16"/>
          <w:szCs w:val="21"/>
        </w:rPr>
        <w:lastRenderedPageBreak/>
        <w:br/>
      </w:r>
      <w:r w:rsidRPr="009E7B82">
        <w:rPr>
          <w:rFonts w:ascii="Tahoma" w:hAnsi="Tahoma" w:cs="Tahoma"/>
          <w:i/>
          <w:iCs/>
          <w:sz w:val="16"/>
          <w:szCs w:val="21"/>
          <w:shd w:val="clear" w:color="auto" w:fill="FFFFFF"/>
        </w:rPr>
        <w:t>"y el número de placa del respectivo vehículo de transporte terrestre. Así mismo, en el caso de venta de combustibles líquidos derivados de hidrocarburos (CLDH) y biocombustible para transporte marítimo se deberá incluir el número de matrícula de la embarcación o nave."</w:t>
      </w:r>
      <w:r w:rsidRPr="009E7B82">
        <w:rPr>
          <w:rFonts w:ascii="Tahoma" w:hAnsi="Tahoma" w:cs="Tahoma"/>
          <w:sz w:val="16"/>
          <w:szCs w:val="21"/>
        </w:rPr>
        <w:br/>
      </w:r>
      <w:r w:rsidRPr="009E7B82">
        <w:rPr>
          <w:rFonts w:ascii="Tahoma" w:hAnsi="Tahoma" w:cs="Tahoma"/>
          <w:sz w:val="16"/>
          <w:szCs w:val="21"/>
        </w:rPr>
        <w:br/>
      </w:r>
      <w:r w:rsidRPr="009E7B82">
        <w:rPr>
          <w:rFonts w:ascii="Tahoma" w:hAnsi="Tahoma" w:cs="Tahoma"/>
          <w:b/>
          <w:sz w:val="16"/>
          <w:szCs w:val="21"/>
          <w:shd w:val="clear" w:color="auto" w:fill="FFFFFF"/>
        </w:rPr>
        <w:t>DISPOSICIÓN FINAL.- </w:t>
      </w:r>
      <w:r w:rsidRPr="009E7B82">
        <w:rPr>
          <w:rFonts w:ascii="Tahoma" w:hAnsi="Tahoma" w:cs="Tahoma"/>
          <w:sz w:val="16"/>
          <w:szCs w:val="21"/>
          <w:shd w:val="clear" w:color="auto" w:fill="FFFFFF"/>
        </w:rPr>
        <w:t>Esta resolución entrará en vigencia a partir de su publicación en el Registro Oficial.</w:t>
      </w:r>
      <w:r w:rsidR="00977482" w:rsidRPr="009E7B82">
        <w:rPr>
          <w:rFonts w:ascii="Tahoma" w:hAnsi="Tahoma" w:cs="Tahoma"/>
          <w:sz w:val="18"/>
        </w:rPr>
        <w:br/>
      </w:r>
    </w:p>
    <w:p w:rsidR="009E7B82" w:rsidRDefault="009E7B82" w:rsidP="009E7B82">
      <w:pPr>
        <w:pStyle w:val="Textoindependiente"/>
        <w:spacing w:after="0"/>
        <w:ind w:left="720"/>
        <w:rPr>
          <w:b/>
          <w:color w:val="006666"/>
          <w:sz w:val="20"/>
          <w:szCs w:val="20"/>
        </w:rPr>
      </w:pPr>
    </w:p>
    <w:p w:rsidR="00977482" w:rsidRPr="009E7B82" w:rsidRDefault="009E7B82" w:rsidP="009E7B82">
      <w:pPr>
        <w:pStyle w:val="Textoindependiente"/>
        <w:numPr>
          <w:ilvl w:val="0"/>
          <w:numId w:val="1"/>
        </w:numPr>
        <w:spacing w:after="0"/>
        <w:rPr>
          <w:sz w:val="20"/>
          <w:szCs w:val="20"/>
          <w:highlight w:val="cyan"/>
        </w:rPr>
      </w:pPr>
      <w:r>
        <w:rPr>
          <w:b/>
          <w:color w:val="006666"/>
          <w:sz w:val="20"/>
          <w:szCs w:val="20"/>
        </w:rPr>
        <w:t xml:space="preserve">Resolución </w:t>
      </w:r>
      <w:hyperlink r:id="rId13" w:history="1">
        <w:r w:rsidR="00977482" w:rsidRPr="009E7B82">
          <w:rPr>
            <w:b/>
            <w:color w:val="006666"/>
            <w:sz w:val="20"/>
            <w:szCs w:val="20"/>
          </w:rPr>
          <w:t>NAC-DGERCGC18-00000233</w:t>
        </w:r>
      </w:hyperlink>
      <w:r w:rsidR="00977482" w:rsidRPr="009E7B82">
        <w:rPr>
          <w:b/>
          <w:color w:val="006666"/>
          <w:sz w:val="20"/>
          <w:szCs w:val="20"/>
        </w:rPr>
        <w:t xml:space="preserve">: </w:t>
      </w:r>
      <w:proofErr w:type="spellStart"/>
      <w:r w:rsidR="00977482" w:rsidRPr="009E7B82">
        <w:rPr>
          <w:sz w:val="20"/>
          <w:szCs w:val="20"/>
        </w:rPr>
        <w:t>Establécense</w:t>
      </w:r>
      <w:proofErr w:type="spellEnd"/>
      <w:r w:rsidR="00977482" w:rsidRPr="009E7B82">
        <w:rPr>
          <w:sz w:val="20"/>
          <w:szCs w:val="20"/>
        </w:rPr>
        <w:t xml:space="preserve"> las </w:t>
      </w:r>
      <w:r w:rsidR="00977482" w:rsidRPr="009E7B82">
        <w:rPr>
          <w:sz w:val="20"/>
          <w:szCs w:val="20"/>
          <w:highlight w:val="cyan"/>
        </w:rPr>
        <w:t>normas para la emisión, entrega y transmisión de comprobantes de venta, retención y documentos complementarios expedidos por sujetos pasivos autorizados, mediante el esquema de comprobantes electrónicos</w:t>
      </w:r>
    </w:p>
    <w:p w:rsidR="00977482" w:rsidRDefault="009E7B82" w:rsidP="00977482">
      <w:pPr>
        <w:pStyle w:val="Textoindependiente"/>
        <w:spacing w:after="0"/>
        <w:rPr>
          <w:rFonts w:ascii="Arial" w:hAnsi="Arial" w:cs="Arial"/>
          <w:color w:val="76838F"/>
          <w:shd w:val="clear" w:color="auto" w:fill="FFFFFF"/>
        </w:rPr>
      </w:pPr>
      <w:r>
        <w:rPr>
          <w:noProof/>
          <w:lang w:val="es-EC" w:eastAsia="es-EC"/>
        </w:rPr>
        <w:drawing>
          <wp:anchor distT="0" distB="0" distL="114300" distR="114300" simplePos="0" relativeHeight="251664384" behindDoc="1" locked="0" layoutInCell="1" allowOverlap="1">
            <wp:simplePos x="0" y="0"/>
            <wp:positionH relativeFrom="column">
              <wp:posOffset>705612</wp:posOffset>
            </wp:positionH>
            <wp:positionV relativeFrom="paragraph">
              <wp:posOffset>100330</wp:posOffset>
            </wp:positionV>
            <wp:extent cx="1799539" cy="1617547"/>
            <wp:effectExtent l="0" t="0" r="0" b="1905"/>
            <wp:wrapNone/>
            <wp:docPr id="1" name="Imagen 1" descr="https://www.elcontribuyente.mx/wp-content/uploads/img/cropimg/factura-electr%C3%B3nica-sat%20(2)_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lcontribuyente.mx/wp-content/uploads/img/cropimg/factura-electr%C3%B3nica-sat%20(2)_e.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9235" t="11119" r="14865"/>
                    <a:stretch/>
                  </pic:blipFill>
                  <pic:spPr bwMode="auto">
                    <a:xfrm>
                      <a:off x="0" y="0"/>
                      <a:ext cx="1799539" cy="161754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E7B82" w:rsidRDefault="009E7B82" w:rsidP="009E7B82">
      <w:pPr>
        <w:rPr>
          <w:rFonts w:ascii="Helvetica" w:hAnsi="Helvetica" w:cs="Helvetica"/>
          <w:color w:val="404040"/>
          <w:sz w:val="20"/>
          <w:szCs w:val="20"/>
          <w:shd w:val="clear" w:color="auto" w:fill="FFFFFF"/>
          <w:lang w:val="es-EC" w:eastAsia="es-EC"/>
        </w:rPr>
        <w:sectPr w:rsidR="009E7B82" w:rsidSect="00A05240">
          <w:type w:val="continuous"/>
          <w:pgSz w:w="11906" w:h="16838"/>
          <w:pgMar w:top="720" w:right="720" w:bottom="720" w:left="720" w:header="708" w:footer="105" w:gutter="0"/>
          <w:cols w:space="708"/>
          <w:docGrid w:linePitch="360"/>
        </w:sectPr>
      </w:pPr>
    </w:p>
    <w:p w:rsidR="009E7B82" w:rsidRDefault="009E7B82" w:rsidP="009E7B82">
      <w:pPr>
        <w:jc w:val="center"/>
        <w:rPr>
          <w:rFonts w:ascii="Tahoma" w:hAnsi="Tahoma" w:cs="Tahoma"/>
          <w:b/>
          <w:sz w:val="16"/>
          <w:szCs w:val="20"/>
          <w:shd w:val="clear" w:color="auto" w:fill="FFFFFF"/>
          <w:lang w:val="es-EC" w:eastAsia="es-EC"/>
        </w:rPr>
      </w:pPr>
    </w:p>
    <w:p w:rsidR="009E7B82" w:rsidRDefault="009E7B82" w:rsidP="009E7B82">
      <w:pPr>
        <w:jc w:val="center"/>
        <w:rPr>
          <w:rFonts w:ascii="Tahoma" w:hAnsi="Tahoma" w:cs="Tahoma"/>
          <w:b/>
          <w:sz w:val="16"/>
          <w:szCs w:val="20"/>
          <w:shd w:val="clear" w:color="auto" w:fill="FFFFFF"/>
          <w:lang w:val="es-EC" w:eastAsia="es-EC"/>
        </w:rPr>
      </w:pPr>
    </w:p>
    <w:p w:rsidR="009E7B82" w:rsidRDefault="009E7B82" w:rsidP="009E7B82">
      <w:pPr>
        <w:jc w:val="center"/>
        <w:rPr>
          <w:rFonts w:ascii="Tahoma" w:hAnsi="Tahoma" w:cs="Tahoma"/>
          <w:b/>
          <w:sz w:val="16"/>
          <w:szCs w:val="20"/>
          <w:shd w:val="clear" w:color="auto" w:fill="FFFFFF"/>
          <w:lang w:val="es-EC" w:eastAsia="es-EC"/>
        </w:rPr>
      </w:pPr>
    </w:p>
    <w:p w:rsidR="009E7B82" w:rsidRDefault="009E7B82" w:rsidP="009E7B82">
      <w:pPr>
        <w:jc w:val="center"/>
        <w:rPr>
          <w:rFonts w:ascii="Tahoma" w:hAnsi="Tahoma" w:cs="Tahoma"/>
          <w:b/>
          <w:sz w:val="16"/>
          <w:szCs w:val="20"/>
          <w:shd w:val="clear" w:color="auto" w:fill="FFFFFF"/>
          <w:lang w:val="es-EC" w:eastAsia="es-EC"/>
        </w:rPr>
      </w:pPr>
    </w:p>
    <w:p w:rsidR="009E7B82" w:rsidRDefault="009E7B82" w:rsidP="009E7B82">
      <w:pPr>
        <w:jc w:val="center"/>
        <w:rPr>
          <w:rFonts w:ascii="Tahoma" w:hAnsi="Tahoma" w:cs="Tahoma"/>
          <w:b/>
          <w:sz w:val="16"/>
          <w:szCs w:val="20"/>
          <w:shd w:val="clear" w:color="auto" w:fill="FFFFFF"/>
          <w:lang w:val="es-EC" w:eastAsia="es-EC"/>
        </w:rPr>
      </w:pPr>
    </w:p>
    <w:p w:rsidR="009E7B82" w:rsidRDefault="009E7B82" w:rsidP="009E7B82">
      <w:pPr>
        <w:jc w:val="center"/>
        <w:rPr>
          <w:rFonts w:ascii="Tahoma" w:hAnsi="Tahoma" w:cs="Tahoma"/>
          <w:b/>
          <w:sz w:val="16"/>
          <w:szCs w:val="20"/>
          <w:shd w:val="clear" w:color="auto" w:fill="FFFFFF"/>
          <w:lang w:val="es-EC" w:eastAsia="es-EC"/>
        </w:rPr>
      </w:pPr>
    </w:p>
    <w:p w:rsidR="009E7B82" w:rsidRDefault="009E7B82" w:rsidP="009E7B82">
      <w:pPr>
        <w:jc w:val="center"/>
        <w:rPr>
          <w:rFonts w:ascii="Tahoma" w:hAnsi="Tahoma" w:cs="Tahoma"/>
          <w:b/>
          <w:sz w:val="16"/>
          <w:szCs w:val="20"/>
          <w:shd w:val="clear" w:color="auto" w:fill="FFFFFF"/>
          <w:lang w:val="es-EC" w:eastAsia="es-EC"/>
        </w:rPr>
      </w:pPr>
    </w:p>
    <w:p w:rsidR="009E7B82" w:rsidRDefault="009E7B82" w:rsidP="009E7B82">
      <w:pPr>
        <w:jc w:val="center"/>
        <w:rPr>
          <w:rFonts w:ascii="Tahoma" w:hAnsi="Tahoma" w:cs="Tahoma"/>
          <w:b/>
          <w:sz w:val="16"/>
          <w:szCs w:val="20"/>
          <w:shd w:val="clear" w:color="auto" w:fill="FFFFFF"/>
          <w:lang w:val="es-EC" w:eastAsia="es-EC"/>
        </w:rPr>
      </w:pPr>
    </w:p>
    <w:p w:rsidR="009E7B82" w:rsidRDefault="009E7B82" w:rsidP="009E7B82">
      <w:pPr>
        <w:jc w:val="center"/>
        <w:rPr>
          <w:rFonts w:ascii="Tahoma" w:hAnsi="Tahoma" w:cs="Tahoma"/>
          <w:b/>
          <w:sz w:val="16"/>
          <w:szCs w:val="20"/>
          <w:shd w:val="clear" w:color="auto" w:fill="FFFFFF"/>
          <w:lang w:val="es-EC" w:eastAsia="es-EC"/>
        </w:rPr>
      </w:pPr>
    </w:p>
    <w:p w:rsidR="009E7B82" w:rsidRDefault="009E7B82" w:rsidP="009E7B82">
      <w:pPr>
        <w:jc w:val="center"/>
        <w:rPr>
          <w:rFonts w:ascii="Tahoma" w:hAnsi="Tahoma" w:cs="Tahoma"/>
          <w:b/>
          <w:sz w:val="16"/>
          <w:szCs w:val="20"/>
          <w:shd w:val="clear" w:color="auto" w:fill="FFFFFF"/>
          <w:lang w:val="es-EC" w:eastAsia="es-EC"/>
        </w:rPr>
      </w:pPr>
      <w:r w:rsidRPr="009E7B82">
        <w:rPr>
          <w:rFonts w:ascii="Tahoma" w:hAnsi="Tahoma" w:cs="Tahoma"/>
          <w:b/>
          <w:sz w:val="16"/>
          <w:szCs w:val="20"/>
          <w:shd w:val="clear" w:color="auto" w:fill="FFFFFF"/>
          <w:lang w:val="es-EC" w:eastAsia="es-EC"/>
        </w:rPr>
        <w:lastRenderedPageBreak/>
        <w:t>Resuelve:</w:t>
      </w:r>
    </w:p>
    <w:p w:rsidR="009E7B82" w:rsidRPr="009E7B82" w:rsidRDefault="009E7B82" w:rsidP="009E7B82">
      <w:pPr>
        <w:rPr>
          <w:rFonts w:ascii="Tahoma" w:hAnsi="Tahoma" w:cs="Tahoma"/>
          <w:sz w:val="20"/>
          <w:lang w:val="es-EC" w:eastAsia="es-EC"/>
        </w:rPr>
      </w:pPr>
      <w:r w:rsidRPr="009E7B82">
        <w:rPr>
          <w:rFonts w:ascii="Tahoma" w:hAnsi="Tahoma" w:cs="Tahoma"/>
          <w:b/>
          <w:sz w:val="16"/>
          <w:szCs w:val="20"/>
          <w:shd w:val="clear" w:color="auto" w:fill="FFFFFF"/>
          <w:lang w:val="es-EC" w:eastAsia="es-EC"/>
        </w:rPr>
        <w:br/>
        <w:t>ESTABLECER LAS NORMAS PARA LA EMISIÓN, ENTREGA Y TRANSMISIÓN DE COMPROBANTES DE VENTA, RETENCIÓN Y DOCUMENTOSCOMPLEMENTARIOS EXPEDIDOS POR SUJETOS PASIVOS AUTORIZADOS, MEDIANTE EL ESQUEMA DE COMPROBANTES ELECTRÓNICOS</w:t>
      </w:r>
      <w:r w:rsidRPr="009E7B82">
        <w:rPr>
          <w:rFonts w:ascii="Tahoma" w:hAnsi="Tahoma" w:cs="Tahoma"/>
          <w:b/>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1.- Ámbito de aplicación.-</w:t>
      </w:r>
      <w:r w:rsidRPr="009E7B82">
        <w:rPr>
          <w:rFonts w:ascii="Tahoma" w:hAnsi="Tahoma" w:cs="Tahoma"/>
          <w:sz w:val="16"/>
          <w:szCs w:val="20"/>
          <w:shd w:val="clear" w:color="auto" w:fill="FFFFFF"/>
          <w:lang w:val="es-EC" w:eastAsia="es-EC"/>
        </w:rPr>
        <w:t xml:space="preserve"> Establézcanse las normas para la </w:t>
      </w:r>
      <w:r w:rsidRPr="009E7B82">
        <w:rPr>
          <w:rFonts w:ascii="Tahoma" w:hAnsi="Tahoma" w:cs="Tahoma"/>
          <w:sz w:val="16"/>
          <w:szCs w:val="20"/>
          <w:shd w:val="clear" w:color="auto" w:fill="FFFFFF"/>
          <w:lang w:val="es-EC" w:eastAsia="es-EC"/>
        </w:rPr>
        <w:lastRenderedPageBreak/>
        <w:t>emisión, entrega y transmisión de comprobantes de venta, retención y documentos complementarios expedidos por sujetos pasivos previamente autorizados por la Administración Tributaria, mediante el esquema de comprobantes electrónicos.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2.- Tipos de comprobantes electrónicos.-</w:t>
      </w:r>
      <w:r w:rsidRPr="009E7B82">
        <w:rPr>
          <w:rFonts w:ascii="Tahoma" w:hAnsi="Tahoma" w:cs="Tahoma"/>
          <w:sz w:val="16"/>
          <w:szCs w:val="20"/>
          <w:shd w:val="clear" w:color="auto" w:fill="FFFFFF"/>
          <w:lang w:val="es-EC" w:eastAsia="es-EC"/>
        </w:rPr>
        <w:t> Los sujetos pasivos de tributos podrán emitir como comprobantes electrónicos, entre otros, los siguientes comprobantes de venta, retención y documentos complementarios: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1. Facturas;</w:t>
      </w:r>
      <w:r w:rsidRPr="009E7B82">
        <w:rPr>
          <w:rFonts w:ascii="Tahoma" w:hAnsi="Tahoma" w:cs="Tahoma"/>
          <w:sz w:val="16"/>
          <w:szCs w:val="20"/>
          <w:shd w:val="clear" w:color="auto" w:fill="FFFFFF"/>
          <w:lang w:val="es-EC" w:eastAsia="es-EC"/>
        </w:rPr>
        <w:br/>
        <w:t>2. Comprobantes de Retención;</w:t>
      </w:r>
      <w:r w:rsidRPr="009E7B82">
        <w:rPr>
          <w:rFonts w:ascii="Tahoma" w:hAnsi="Tahoma" w:cs="Tahoma"/>
          <w:sz w:val="16"/>
          <w:szCs w:val="20"/>
          <w:shd w:val="clear" w:color="auto" w:fill="FFFFFF"/>
          <w:lang w:val="es-EC" w:eastAsia="es-EC"/>
        </w:rPr>
        <w:br/>
        <w:t>3. Guías de Remisión;</w:t>
      </w:r>
      <w:r w:rsidRPr="009E7B82">
        <w:rPr>
          <w:rFonts w:ascii="Tahoma" w:hAnsi="Tahoma" w:cs="Tahoma"/>
          <w:sz w:val="16"/>
          <w:szCs w:val="20"/>
          <w:shd w:val="clear" w:color="auto" w:fill="FFFFFF"/>
          <w:lang w:val="es-EC" w:eastAsia="es-EC"/>
        </w:rPr>
        <w:br/>
        <w:t>4. Notas de Crédito;</w:t>
      </w:r>
      <w:r w:rsidRPr="009E7B82">
        <w:rPr>
          <w:rFonts w:ascii="Tahoma" w:hAnsi="Tahoma" w:cs="Tahoma"/>
          <w:sz w:val="16"/>
          <w:szCs w:val="20"/>
          <w:shd w:val="clear" w:color="auto" w:fill="FFFFFF"/>
          <w:lang w:val="es-EC" w:eastAsia="es-EC"/>
        </w:rPr>
        <w:br/>
        <w:t>5. Notas de Débito; y,</w:t>
      </w:r>
      <w:r w:rsidRPr="009E7B82">
        <w:rPr>
          <w:rFonts w:ascii="Tahoma" w:hAnsi="Tahoma" w:cs="Tahoma"/>
          <w:sz w:val="16"/>
          <w:szCs w:val="20"/>
          <w:shd w:val="clear" w:color="auto" w:fill="FFFFFF"/>
          <w:lang w:val="es-EC" w:eastAsia="es-EC"/>
        </w:rPr>
        <w:br/>
        <w:t>6. Liquidaciones de Compra de Bienes y Prestación de Servicios.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El Servicio de Rentas Internas podrá incorporar, mediante resolución y en los términos previstos en el Reglamento de Comprobantes de Venta, Retención y Documentos Complementarios, otros comprobantes de venta en el esquema electrónico, mismos que se publicarán en la respectiva "Ficha Técnica".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3.- Procedimiento.- </w:t>
      </w:r>
      <w:r w:rsidRPr="009E7B82">
        <w:rPr>
          <w:rFonts w:ascii="Tahoma" w:hAnsi="Tahoma" w:cs="Tahoma"/>
          <w:sz w:val="16"/>
          <w:szCs w:val="20"/>
          <w:shd w:val="clear" w:color="auto" w:fill="FFFFFF"/>
          <w:lang w:val="es-EC" w:eastAsia="es-EC"/>
        </w:rPr>
        <w:t>Los sujetos pasivos deberán ingresar su solicitud de autorización a través de la portal web institucional </w:t>
      </w:r>
      <w:r w:rsidRPr="009E7B82">
        <w:rPr>
          <w:rFonts w:ascii="Tahoma" w:hAnsi="Tahoma" w:cs="Tahoma"/>
          <w:sz w:val="16"/>
          <w:szCs w:val="20"/>
          <w:u w:val="single"/>
          <w:shd w:val="clear" w:color="auto" w:fill="FFFFFF"/>
          <w:lang w:val="es-EC" w:eastAsia="es-EC"/>
        </w:rPr>
        <w:t>www.sri.gob.ec,</w:t>
      </w:r>
      <w:r w:rsidRPr="009E7B82">
        <w:rPr>
          <w:rFonts w:ascii="Tahoma" w:hAnsi="Tahoma" w:cs="Tahoma"/>
          <w:sz w:val="16"/>
          <w:szCs w:val="20"/>
          <w:shd w:val="clear" w:color="auto" w:fill="FFFFFF"/>
          <w:lang w:val="es-EC" w:eastAsia="es-EC"/>
        </w:rPr>
        <w:t> mediante la opción </w:t>
      </w:r>
      <w:r w:rsidRPr="009E7B82">
        <w:rPr>
          <w:rFonts w:ascii="Tahoma" w:hAnsi="Tahoma" w:cs="Tahoma"/>
          <w:i/>
          <w:iCs/>
          <w:sz w:val="16"/>
          <w:szCs w:val="20"/>
          <w:shd w:val="clear" w:color="auto" w:fill="FFFFFF"/>
          <w:lang w:val="es-EC" w:eastAsia="es-EC"/>
        </w:rPr>
        <w:t>"Comprobantes Electrónicos ", </w:t>
      </w:r>
      <w:r w:rsidRPr="009E7B82">
        <w:rPr>
          <w:rFonts w:ascii="Tahoma" w:hAnsi="Tahoma" w:cs="Tahoma"/>
          <w:sz w:val="16"/>
          <w:szCs w:val="20"/>
          <w:shd w:val="clear" w:color="auto" w:fill="FFFFFF"/>
          <w:lang w:val="es-EC" w:eastAsia="es-EC"/>
        </w:rPr>
        <w:t>disponible en el portal </w:t>
      </w:r>
      <w:r w:rsidRPr="009E7B82">
        <w:rPr>
          <w:rFonts w:ascii="Tahoma" w:hAnsi="Tahoma" w:cs="Tahoma"/>
          <w:i/>
          <w:iCs/>
          <w:sz w:val="16"/>
          <w:szCs w:val="20"/>
          <w:shd w:val="clear" w:color="auto" w:fill="FFFFFF"/>
          <w:lang w:val="es-EC" w:eastAsia="es-EC"/>
        </w:rPr>
        <w:t>SRI en Línea.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a. En ambiente de pruebas: Por única vez, el contribuyente deberá ingresar una solicitud de autorización de emisión de comprobantes electrónicos en ambiente de pruebas, a través de la opción </w:t>
      </w:r>
      <w:r w:rsidRPr="009E7B82">
        <w:rPr>
          <w:rFonts w:ascii="Tahoma" w:hAnsi="Tahoma" w:cs="Tahoma"/>
          <w:i/>
          <w:iCs/>
          <w:sz w:val="16"/>
          <w:szCs w:val="20"/>
          <w:shd w:val="clear" w:color="auto" w:fill="FFFFFF"/>
          <w:lang w:val="es-EC" w:eastAsia="es-EC"/>
        </w:rPr>
        <w:t>"Comprobantes Electrónicos", </w:t>
      </w:r>
      <w:r w:rsidRPr="009E7B82">
        <w:rPr>
          <w:rFonts w:ascii="Tahoma" w:hAnsi="Tahoma" w:cs="Tahoma"/>
          <w:sz w:val="16"/>
          <w:szCs w:val="20"/>
          <w:shd w:val="clear" w:color="auto" w:fill="FFFFFF"/>
          <w:lang w:val="es-EC" w:eastAsia="es-EC"/>
        </w:rPr>
        <w:t>en el icono de </w:t>
      </w:r>
      <w:r w:rsidRPr="009E7B82">
        <w:rPr>
          <w:rFonts w:ascii="Tahoma" w:hAnsi="Tahoma" w:cs="Tahoma"/>
          <w:i/>
          <w:iCs/>
          <w:sz w:val="16"/>
          <w:szCs w:val="20"/>
          <w:shd w:val="clear" w:color="auto" w:fill="FFFFFF"/>
          <w:lang w:val="es-EC" w:eastAsia="es-EC"/>
        </w:rPr>
        <w:t>"Pruebas". </w:t>
      </w:r>
      <w:r w:rsidRPr="009E7B82">
        <w:rPr>
          <w:rFonts w:ascii="Tahoma" w:hAnsi="Tahoma" w:cs="Tahoma"/>
          <w:sz w:val="16"/>
          <w:szCs w:val="20"/>
          <w:shd w:val="clear" w:color="auto" w:fill="FFFFFF"/>
          <w:lang w:val="es-EC" w:eastAsia="es-EC"/>
        </w:rPr>
        <w:t>Aprobada la solicitud, deberá efectuar todos los ajustes necesarios en los sistemas informáticos para la emisión de comprobantes electrónicos, de tal manera que se garantice que la información que será transmitida a la Administración Tributaria cumpla con las especificaciones establecidas en la "Ficha Técnica". Al tratarse de un período de prueba, los comprobantes electrónicos emitidos bajo este ambiente, no tienen validez tributaria, y por tanto no sustentan costos y gastos, ni crédito tributario.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b. En ambiente de producción: Una vez que el contribuyente haya realizado todas las verificaciones dentro del ambiente de </w:t>
      </w:r>
      <w:r w:rsidRPr="009E7B82">
        <w:rPr>
          <w:rFonts w:ascii="Tahoma" w:hAnsi="Tahoma" w:cs="Tahoma"/>
          <w:i/>
          <w:iCs/>
          <w:sz w:val="16"/>
          <w:szCs w:val="20"/>
          <w:shd w:val="clear" w:color="auto" w:fill="FFFFFF"/>
          <w:lang w:val="es-EC" w:eastAsia="es-EC"/>
        </w:rPr>
        <w:t>"Pruebas ", </w:t>
      </w:r>
      <w:r w:rsidRPr="009E7B82">
        <w:rPr>
          <w:rFonts w:ascii="Tahoma" w:hAnsi="Tahoma" w:cs="Tahoma"/>
          <w:sz w:val="16"/>
          <w:szCs w:val="20"/>
          <w:shd w:val="clear" w:color="auto" w:fill="FFFFFF"/>
          <w:lang w:val="es-EC" w:eastAsia="es-EC"/>
        </w:rPr>
        <w:t>así como los ajustes necesarios señalados en el literal anterior, ingresará su solicitud de autorización de comprobantes electrónicos, en la opción </w:t>
      </w:r>
      <w:r w:rsidRPr="009E7B82">
        <w:rPr>
          <w:rFonts w:ascii="Tahoma" w:hAnsi="Tahoma" w:cs="Tahoma"/>
          <w:i/>
          <w:iCs/>
          <w:sz w:val="16"/>
          <w:szCs w:val="20"/>
          <w:shd w:val="clear" w:color="auto" w:fill="FFFFFF"/>
          <w:lang w:val="es-EC" w:eastAsia="es-EC"/>
        </w:rPr>
        <w:t>"ambiente de producción ". </w:t>
      </w:r>
      <w:r w:rsidRPr="009E7B82">
        <w:rPr>
          <w:rFonts w:ascii="Tahoma" w:hAnsi="Tahoma" w:cs="Tahoma"/>
          <w:sz w:val="16"/>
          <w:szCs w:val="20"/>
          <w:shd w:val="clear" w:color="auto" w:fill="FFFFFF"/>
          <w:lang w:val="es-EC" w:eastAsia="es-EC"/>
        </w:rPr>
        <w:t>La aprobación otorgada por el Servicio de Rentas Internas, respecto de la solicitud de autorización de emisión de comprobantes electrónicos, tendrá vigencia indefinida y los comprobantes emitidos en este ambiente contarán con la respectiva validez tributaria.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Los comprobantes electrónicos emitidos en el ambiente de </w:t>
      </w:r>
      <w:r w:rsidRPr="009E7B82">
        <w:rPr>
          <w:rFonts w:ascii="Tahoma" w:hAnsi="Tahoma" w:cs="Tahoma"/>
          <w:i/>
          <w:iCs/>
          <w:sz w:val="16"/>
          <w:szCs w:val="20"/>
          <w:shd w:val="clear" w:color="auto" w:fill="FFFFFF"/>
          <w:lang w:val="es-EC" w:eastAsia="es-EC"/>
        </w:rPr>
        <w:t>"Pruebas " </w:t>
      </w:r>
      <w:r w:rsidRPr="009E7B82">
        <w:rPr>
          <w:rFonts w:ascii="Tahoma" w:hAnsi="Tahoma" w:cs="Tahoma"/>
          <w:sz w:val="16"/>
          <w:szCs w:val="20"/>
          <w:shd w:val="clear" w:color="auto" w:fill="FFFFFF"/>
          <w:lang w:val="es-EC" w:eastAsia="es-EC"/>
        </w:rPr>
        <w:t>así como en el ambiente de </w:t>
      </w:r>
      <w:r w:rsidRPr="009E7B82">
        <w:rPr>
          <w:rFonts w:ascii="Tahoma" w:hAnsi="Tahoma" w:cs="Tahoma"/>
          <w:i/>
          <w:iCs/>
          <w:sz w:val="16"/>
          <w:szCs w:val="20"/>
          <w:shd w:val="clear" w:color="auto" w:fill="FFFFFF"/>
          <w:lang w:val="es-EC" w:eastAsia="es-EC"/>
        </w:rPr>
        <w:t>"Producción ", </w:t>
      </w:r>
      <w:r w:rsidRPr="009E7B82">
        <w:rPr>
          <w:rFonts w:ascii="Tahoma" w:hAnsi="Tahoma" w:cs="Tahoma"/>
          <w:sz w:val="16"/>
          <w:szCs w:val="20"/>
          <w:shd w:val="clear" w:color="auto" w:fill="FFFFFF"/>
          <w:lang w:val="es-EC" w:eastAsia="es-EC"/>
        </w:rPr>
        <w:t>deberán cumplir con los requisitos pre impresos y de llenado, establecidos en el Reglamento de Comprobantes de Venta, Retención y Documentos Complementarios y las resoluciones emitidas para el efecto.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Los emisores de comprobantes electrónicos deberán asignar puntos de emisión exclusivos para esta modalidad.</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4.- Validez de los comprobantes electrónicos.-</w:t>
      </w:r>
      <w:r w:rsidRPr="009E7B82">
        <w:rPr>
          <w:rFonts w:ascii="Tahoma" w:hAnsi="Tahoma" w:cs="Tahoma"/>
          <w:sz w:val="16"/>
          <w:szCs w:val="20"/>
          <w:shd w:val="clear" w:color="auto" w:fill="FFFFFF"/>
          <w:lang w:val="es-EC" w:eastAsia="es-EC"/>
        </w:rPr>
        <w:t> Los comprobantes electrónicos deben estar firmados electrónicamente, únicamente por el emisor, quien es responsable de mantener vigente el certificado de firma electrónica utilizado y además de observar lo dispuesto en la Ley de Comercio Electrónico, Firmas Electrónicas y Mensajes de Datos. Este certificado podrá extinguirse, suspenderse o revocarse de acuerdo a lo establecido en la ley antes mencionada y su reglamento.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Los sujetos pasivos deben cumplir con lo dispuesto en la "Ficha Técnica", así como observar las características de unicidad y demás especificaciones detalladas en los archivos "XML" y "XSD", que el Servicio de Rentas Internas publique en el portal web institucional www.sri.gob.ec.</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Se entenderá que los comprobantes electrónicos que se emitan por contribuyentes autorizados en ambiente de </w:t>
      </w:r>
      <w:r w:rsidRPr="009E7B82">
        <w:rPr>
          <w:rFonts w:ascii="Tahoma" w:hAnsi="Tahoma" w:cs="Tahoma"/>
          <w:i/>
          <w:iCs/>
          <w:sz w:val="16"/>
          <w:szCs w:val="20"/>
          <w:shd w:val="clear" w:color="auto" w:fill="FFFFFF"/>
          <w:lang w:val="es-EC" w:eastAsia="es-EC"/>
        </w:rPr>
        <w:t>"Producción ", </w:t>
      </w:r>
      <w:r w:rsidRPr="009E7B82">
        <w:rPr>
          <w:rFonts w:ascii="Tahoma" w:hAnsi="Tahoma" w:cs="Tahoma"/>
          <w:sz w:val="16"/>
          <w:szCs w:val="20"/>
          <w:shd w:val="clear" w:color="auto" w:fill="FFFFFF"/>
          <w:lang w:val="es-EC" w:eastAsia="es-EC"/>
        </w:rPr>
        <w:t xml:space="preserve">cuentan con el requisito de autorización, sin perjuicio de su posterior </w:t>
      </w:r>
      <w:r w:rsidRPr="009E7B82">
        <w:rPr>
          <w:rFonts w:ascii="Tahoma" w:hAnsi="Tahoma" w:cs="Tahoma"/>
          <w:sz w:val="16"/>
          <w:szCs w:val="20"/>
          <w:shd w:val="clear" w:color="auto" w:fill="FFFFFF"/>
          <w:lang w:val="es-EC" w:eastAsia="es-EC"/>
        </w:rPr>
        <w:lastRenderedPageBreak/>
        <w:t>transmisión a la Administración Tributaria.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Para verificar la validez de los comprobantes, el receptor deberá consultar, en los medios que ponga a su disposición el Servicio de Rentas Internas.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5.- Consentimiento.-</w:t>
      </w:r>
      <w:r w:rsidRPr="009E7B82">
        <w:rPr>
          <w:rFonts w:ascii="Tahoma" w:hAnsi="Tahoma" w:cs="Tahoma"/>
          <w:sz w:val="16"/>
          <w:szCs w:val="20"/>
          <w:shd w:val="clear" w:color="auto" w:fill="FFFFFF"/>
          <w:lang w:val="es-EC" w:eastAsia="es-EC"/>
        </w:rPr>
        <w:t> Los emisores de comprobantes electrónicos deben contar con el consentimiento del consumidor o usuario antes de la emisión y entrega de los mismos. De igual forma, los emisores instruirán al consumidor o usuario sobre la forma de acceder a la información de dicho comprobante, los medios, equipos y programas que requiere para ello.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Los sujetos pasivos autorizados a operar bajo modalidad electrónica, están obligados a emitir, entregar y transmitir los comprobantes electrónicos, en las condiciones y oportunidad previstas en la norma y en el artículo 6 de esta Resolución, a pesar que el adquirente no los solicite o exprese que no los requiere.</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6.- Entrega de comprobantes electrónicos.- </w:t>
      </w:r>
      <w:r w:rsidRPr="009E7B82">
        <w:rPr>
          <w:rFonts w:ascii="Tahoma" w:hAnsi="Tahoma" w:cs="Tahoma"/>
          <w:sz w:val="16"/>
          <w:szCs w:val="20"/>
          <w:shd w:val="clear" w:color="auto" w:fill="FFFFFF"/>
          <w:lang w:val="es-EC" w:eastAsia="es-EC"/>
        </w:rPr>
        <w:t>Se entenderá entregado el comprobante electrónico, cuando el emisor cumpla con una de las siguientes alternativas: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1. Haber enviado exitosamente los archivos XML y la representación impresa del documento electrónico (RIDE) del comprobante electrónico, al correo electrónico proporcionado por el adquirente, receptor, usuario o consumidor. Adicionalmente, los emisores podrán poner a disposición del adquirente, receptor, usuario o consumidor; el acceso a un portal web que le permita obtener los archivos XML y RIDE del correspondiente comprobante electrónico.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2. Imprima y entregue el RIDE, únicamente en los siguiente casos: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a. Cuando no sea posible cumplir con las alternativas de entrega anteriormente señaladas;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b. Cuando no se identifique al adquirente, receptor, usuario, consumidor;</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c. Cuando el adquirente, receptor, usuario o consumidor lo requiera; 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d. Cuando se trate de Liquidaciones de Bienes y Prestación de Servicios, se deberá emitir dos ejemplares del RIDE que deberán ser firmados por el receptor, a quien se entregará un ejemplar, mientras que el otro será conservado obligatoriamente por el receptor.</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La impresión del RIDE tendrá igual validez tributaria que el comprobante electrónico al cual representa y su contenido podrá ser verificado con la información que reposa en la base de datos de la Administración Tributaria, a través de la consulta de comprobantes electrónicos disponible en el portal web institucional.</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La omisión del envío, indisponibilidad o inaccesibilidad al comprobante electrónico, constituye falta de entrega al receptor; igual efecto se considerará en los casos que en la emisión y entrega del comprobante electrónico, por correo o a través del portal web del emisor, sólo esté disponible uno de los dos archivos requeridos (XML o RIDE), sin perjuicio de que la información sea transmitida a la Administración Tributaria.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7.- Trasmisión.-</w:t>
      </w:r>
      <w:r w:rsidRPr="009E7B82">
        <w:rPr>
          <w:rFonts w:ascii="Tahoma" w:hAnsi="Tahoma" w:cs="Tahoma"/>
          <w:sz w:val="16"/>
          <w:szCs w:val="20"/>
          <w:shd w:val="clear" w:color="auto" w:fill="FFFFFF"/>
          <w:lang w:val="es-EC" w:eastAsia="es-EC"/>
        </w:rPr>
        <w:t xml:space="preserve"> Los sujetos pasivos que emitan comprobantes electrónicos deberán transmitirlos a la Administración Tributaria en el momento mismo de realizarse la transacción, utilizando para ello los enlaces "web </w:t>
      </w:r>
      <w:proofErr w:type="spellStart"/>
      <w:r w:rsidRPr="009E7B82">
        <w:rPr>
          <w:rFonts w:ascii="Tahoma" w:hAnsi="Tahoma" w:cs="Tahoma"/>
          <w:sz w:val="16"/>
          <w:szCs w:val="20"/>
          <w:shd w:val="clear" w:color="auto" w:fill="FFFFFF"/>
          <w:lang w:val="es-EC" w:eastAsia="es-EC"/>
        </w:rPr>
        <w:t>services</w:t>
      </w:r>
      <w:proofErr w:type="spellEnd"/>
      <w:r w:rsidRPr="009E7B82">
        <w:rPr>
          <w:rFonts w:ascii="Tahoma" w:hAnsi="Tahoma" w:cs="Tahoma"/>
          <w:sz w:val="16"/>
          <w:szCs w:val="20"/>
          <w:shd w:val="clear" w:color="auto" w:fill="FFFFFF"/>
          <w:lang w:val="es-EC" w:eastAsia="es-EC"/>
        </w:rPr>
        <w:t>" dispuestos en la "Ficha Técnica". A través de este mecanismo se realizará el envío, recepción y validación de los comprobantes electrónicos entre el emisor y la Administración Tributaria.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Solamente en caso de que los sujetos pasivos, por la naturaleza de su actividad económica, emitan comprobantes electrónicos masivamente, podrán enviarlos al Servicio de Rentas Internas de forma conjunta o agrupada en las condiciones señaladas en la "Ficha Técnica", dentro de un máximo de veinte y cuatro horas de haberse realizado la transacción o generación del comprobante electrónico.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 xml:space="preserve">En la emisión de comprobantes por las ventas por exportación de bienes, la transmisión al SRI se la realizará una vez que se haya </w:t>
      </w:r>
      <w:r w:rsidRPr="009E7B82">
        <w:rPr>
          <w:rFonts w:ascii="Tahoma" w:hAnsi="Tahoma" w:cs="Tahoma"/>
          <w:sz w:val="16"/>
          <w:szCs w:val="20"/>
          <w:shd w:val="clear" w:color="auto" w:fill="FFFFFF"/>
          <w:lang w:val="es-EC" w:eastAsia="es-EC"/>
        </w:rPr>
        <w:lastRenderedPageBreak/>
        <w:t>finalizado el proceso de embarque y envío del producto al exterior.</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La transmisión no sustituye ni exonera la obligación de entregar el comprobante electrónico al adquirente, usuario o consumidor. La no entrega del comprobante de venta electrónico y la falta de presentación de información, constituyen dos obligaciones e infracciones diferentes.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8.- Casos excepcionales.-</w:t>
      </w:r>
      <w:r w:rsidRPr="009E7B82">
        <w:rPr>
          <w:rFonts w:ascii="Tahoma" w:hAnsi="Tahoma" w:cs="Tahoma"/>
          <w:sz w:val="16"/>
          <w:szCs w:val="20"/>
          <w:shd w:val="clear" w:color="auto" w:fill="FFFFFF"/>
          <w:lang w:val="es-EC" w:eastAsia="es-EC"/>
        </w:rPr>
        <w:t> Cuando por motivos de fuerza mayor, no sea posible generar un comprobante electrónico mediante el sistema de emisión de comprobantes electrónicos, el emisor podrá emitir un comprobante de venta, retención o documento complementario bajo las otras formas de emisión, conforme a los requisitos establecidos en el Reglamento de Comprobantes de Venta, Retención y Documentos Complementarios.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9.- Validación del comprobante electrónico.-</w:t>
      </w:r>
      <w:r w:rsidRPr="009E7B82">
        <w:rPr>
          <w:rFonts w:ascii="Tahoma" w:hAnsi="Tahoma" w:cs="Tahoma"/>
          <w:sz w:val="16"/>
          <w:szCs w:val="20"/>
          <w:shd w:val="clear" w:color="auto" w:fill="FFFFFF"/>
          <w:lang w:val="es-EC" w:eastAsia="es-EC"/>
        </w:rPr>
        <w:t> Los comprobantes transmitidos a la Administración Tributaria serán validados y almacenados en su base de datos como respaldo de las transacciones realizadas por los contribuyentes, sus estados podrán ser verificados a través del portal web institucional.</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Cuando los sujetos pasivos emisores de comprobantes electrónicos verifiquen que un comprobante transmitido a la Administración Tributaria, haya sido "rechazado", "devuelto" o que no haya superado la validación, el emisor estará obligado a rectificar el comprobante electrónico, transmitirlo al Servicio de Rentas Internas en el plazo de veinticuatro horas y notificar al receptor el comprobante electrónico rectificado.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Los comprobantes electrónicos mencionados en el inciso anterior podrán ser reenviados a la Administración Tributaria y verificados con la misma clave de acceso que se generaron inicialmente.</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10.- Verificación en la base de datos.-</w:t>
      </w:r>
      <w:r w:rsidRPr="009E7B82">
        <w:rPr>
          <w:rFonts w:ascii="Tahoma" w:hAnsi="Tahoma" w:cs="Tahoma"/>
          <w:sz w:val="16"/>
          <w:szCs w:val="20"/>
          <w:shd w:val="clear" w:color="auto" w:fill="FFFFFF"/>
          <w:lang w:val="es-EC" w:eastAsia="es-EC"/>
        </w:rPr>
        <w:t> El Servicio de Rentas Internas pondrá a disposición de todos los sujetos pasivos, en su portal web institucional </w:t>
      </w:r>
      <w:r w:rsidRPr="009E7B82">
        <w:rPr>
          <w:rFonts w:ascii="Tahoma" w:hAnsi="Tahoma" w:cs="Tahoma"/>
          <w:i/>
          <w:iCs/>
          <w:sz w:val="16"/>
          <w:szCs w:val="20"/>
          <w:shd w:val="clear" w:color="auto" w:fill="FFFFFF"/>
          <w:lang w:val="es-EC" w:eastAsia="es-EC"/>
        </w:rPr>
        <w:t>"Servicios en</w:t>
      </w:r>
      <w:r w:rsidRPr="009E7B82">
        <w:rPr>
          <w:rFonts w:ascii="Tahoma" w:hAnsi="Tahoma" w:cs="Tahoma"/>
          <w:sz w:val="16"/>
          <w:szCs w:val="20"/>
          <w:shd w:val="clear" w:color="auto" w:fill="FFFFFF"/>
          <w:lang w:val="es-EC" w:eastAsia="es-EC"/>
        </w:rPr>
        <w:t> </w:t>
      </w:r>
      <w:r w:rsidRPr="009E7B82">
        <w:rPr>
          <w:rFonts w:ascii="Tahoma" w:hAnsi="Tahoma" w:cs="Tahoma"/>
          <w:i/>
          <w:iCs/>
          <w:sz w:val="16"/>
          <w:szCs w:val="20"/>
          <w:shd w:val="clear" w:color="auto" w:fill="FFFFFF"/>
          <w:lang w:val="es-EC" w:eastAsia="es-EC"/>
        </w:rPr>
        <w:t>Línea", </w:t>
      </w:r>
      <w:r w:rsidRPr="009E7B82">
        <w:rPr>
          <w:rFonts w:ascii="Tahoma" w:hAnsi="Tahoma" w:cs="Tahoma"/>
          <w:sz w:val="16"/>
          <w:szCs w:val="20"/>
          <w:shd w:val="clear" w:color="auto" w:fill="FFFFFF"/>
          <w:lang w:val="es-EC" w:eastAsia="es-EC"/>
        </w:rPr>
        <w:t>la herramienta de </w:t>
      </w:r>
      <w:r w:rsidRPr="009E7B82">
        <w:rPr>
          <w:rFonts w:ascii="Tahoma" w:hAnsi="Tahoma" w:cs="Tahoma"/>
          <w:i/>
          <w:iCs/>
          <w:sz w:val="16"/>
          <w:szCs w:val="20"/>
          <w:shd w:val="clear" w:color="auto" w:fill="FFFFFF"/>
          <w:lang w:val="es-EC" w:eastAsia="es-EC"/>
        </w:rPr>
        <w:t>"Consulta Pública y Privada de Validez de Comprobantes Electrónicos”, </w:t>
      </w:r>
      <w:r w:rsidRPr="009E7B82">
        <w:rPr>
          <w:rFonts w:ascii="Tahoma" w:hAnsi="Tahoma" w:cs="Tahoma"/>
          <w:sz w:val="16"/>
          <w:szCs w:val="20"/>
          <w:shd w:val="clear" w:color="auto" w:fill="FFFFFF"/>
          <w:lang w:val="es-EC" w:eastAsia="es-EC"/>
        </w:rPr>
        <w:t>misma que podrá ser utilizada ingresando con la clave personal para verificar el estado de validación y el detalle de cada uno de sus comprobantes electrónicos; o para consultar si el emisor se encuentra autorizado bajo la modalidad electrónica.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En caso de identificar un comprobante electrónico no transmitido al SRI dentro del plazo establecido en el artículo 7 de la presente Resolución, se deberá reportar por los canales dispuestos por la Administración Tributaria ingresando la respectiva denuncia, sin perjuicio de que afecte la validez de dicho comprobante para sustento de costos y gastos o crédito tributario.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11.- Conservación de la Documentación.-</w:t>
      </w:r>
      <w:r w:rsidRPr="009E7B82">
        <w:rPr>
          <w:rFonts w:ascii="Tahoma" w:hAnsi="Tahoma" w:cs="Tahoma"/>
          <w:sz w:val="16"/>
          <w:szCs w:val="20"/>
          <w:shd w:val="clear" w:color="auto" w:fill="FFFFFF"/>
          <w:lang w:val="es-EC" w:eastAsia="es-EC"/>
        </w:rPr>
        <w:t xml:space="preserve"> Los sujetos pasivos que fueren autorizados a emitir comprobantes electrónicos, así como aquellos que reciban documentos autorizados emitidos bajo esta modalidad, deberán conservar dichos documentos por un plazo de siete (7) años, sin perjuicio del registro que mantendrá el Servicio de Rentas Internas de las transacciones realizadas por los sujetos pasivos.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12.- Control posterior.-</w:t>
      </w:r>
      <w:r w:rsidRPr="009E7B82">
        <w:rPr>
          <w:rFonts w:ascii="Tahoma" w:hAnsi="Tahoma" w:cs="Tahoma"/>
          <w:sz w:val="16"/>
          <w:szCs w:val="20"/>
          <w:shd w:val="clear" w:color="auto" w:fill="FFFFFF"/>
          <w:lang w:val="es-EC" w:eastAsia="es-EC"/>
        </w:rPr>
        <w:t xml:space="preserve"> La Administración Tributaria podrá realizar los controles y verificaciones posteriores con relación a la veracidad de la información contenida en los comprobantes </w:t>
      </w:r>
      <w:r w:rsidRPr="009E7B82">
        <w:rPr>
          <w:rFonts w:ascii="Tahoma" w:hAnsi="Tahoma" w:cs="Tahoma"/>
          <w:sz w:val="16"/>
          <w:szCs w:val="20"/>
          <w:shd w:val="clear" w:color="auto" w:fill="FFFFFF"/>
          <w:lang w:val="es-EC" w:eastAsia="es-EC"/>
        </w:rPr>
        <w:lastRenderedPageBreak/>
        <w:t>electrónicos, así como aplicar las sanciones establecidas en la normativa tributaria vigente, en caso de que los comprobantes electrónicos no hayan sido transmitidos y/o validados por el Servicio de Rentas Internas.</w:t>
      </w:r>
      <w:r w:rsidRPr="009E7B82">
        <w:rPr>
          <w:rFonts w:ascii="Tahoma" w:hAnsi="Tahoma" w:cs="Tahoma"/>
          <w:sz w:val="16"/>
          <w:szCs w:val="20"/>
          <w:shd w:val="clear" w:color="auto" w:fill="FFFFFF"/>
          <w:lang w:val="es-EC" w:eastAsia="es-EC"/>
        </w:rPr>
        <w:br/>
      </w:r>
    </w:p>
    <w:p w:rsidR="009E7B82" w:rsidRPr="009E7B82" w:rsidRDefault="009E7B82" w:rsidP="009E7B82">
      <w:pPr>
        <w:shd w:val="clear" w:color="auto" w:fill="FFFFFF"/>
        <w:rPr>
          <w:rFonts w:ascii="Tahoma" w:hAnsi="Tahoma" w:cs="Tahoma"/>
          <w:sz w:val="16"/>
          <w:szCs w:val="20"/>
          <w:lang w:val="es-EC" w:eastAsia="es-EC"/>
        </w:rPr>
      </w:pPr>
      <w:r w:rsidRPr="009E7B82">
        <w:rPr>
          <w:rFonts w:ascii="Tahoma" w:hAnsi="Tahoma" w:cs="Tahoma"/>
          <w:b/>
          <w:sz w:val="16"/>
          <w:szCs w:val="20"/>
          <w:lang w:val="es-EC" w:eastAsia="es-EC"/>
        </w:rPr>
        <w:t>DISPOSICIONES GENERALES</w:t>
      </w:r>
      <w:r w:rsidRPr="009E7B82">
        <w:rPr>
          <w:rFonts w:ascii="Tahoma" w:hAnsi="Tahoma" w:cs="Tahoma"/>
          <w:b/>
          <w:sz w:val="16"/>
          <w:szCs w:val="20"/>
          <w:lang w:val="es-EC" w:eastAsia="es-EC"/>
        </w:rPr>
        <w:br/>
      </w:r>
      <w:r w:rsidRPr="009E7B82">
        <w:rPr>
          <w:rFonts w:ascii="Tahoma" w:hAnsi="Tahoma" w:cs="Tahoma"/>
          <w:sz w:val="16"/>
          <w:szCs w:val="20"/>
          <w:lang w:val="es-EC" w:eastAsia="es-EC"/>
        </w:rPr>
        <w:br/>
        <w:t>Primera.- Sin perjuicio de los requisitos de llenado establecidos en el Reglamento de Comprobantes de Venta, Retención y Documentos Complementarios, en la emisión de comprobantes electrónicos se deberá incluir la siguiente información:</w:t>
      </w:r>
      <w:r w:rsidRPr="009E7B82">
        <w:rPr>
          <w:rFonts w:ascii="Tahoma" w:hAnsi="Tahoma" w:cs="Tahoma"/>
          <w:sz w:val="16"/>
          <w:szCs w:val="20"/>
          <w:lang w:val="es-EC" w:eastAsia="es-EC"/>
        </w:rPr>
        <w:br/>
      </w:r>
      <w:r w:rsidRPr="009E7B82">
        <w:rPr>
          <w:rFonts w:ascii="Tahoma" w:hAnsi="Tahoma" w:cs="Tahoma"/>
          <w:sz w:val="16"/>
          <w:szCs w:val="20"/>
          <w:lang w:val="es-EC" w:eastAsia="es-EC"/>
        </w:rPr>
        <w:br/>
        <w:t>1. En las notas de crédito y notas de débito, se deberá señalar la fecha de emisión del comprobante de venta.</w:t>
      </w:r>
      <w:r w:rsidRPr="009E7B82">
        <w:rPr>
          <w:rFonts w:ascii="Tahoma" w:hAnsi="Tahoma" w:cs="Tahoma"/>
          <w:sz w:val="16"/>
          <w:szCs w:val="20"/>
          <w:lang w:val="es-EC" w:eastAsia="es-EC"/>
        </w:rPr>
        <w:br/>
      </w:r>
      <w:r w:rsidRPr="009E7B82">
        <w:rPr>
          <w:rFonts w:ascii="Tahoma" w:hAnsi="Tahoma" w:cs="Tahoma"/>
          <w:sz w:val="16"/>
          <w:szCs w:val="20"/>
          <w:lang w:val="es-EC" w:eastAsia="es-EC"/>
        </w:rPr>
        <w:br/>
        <w:t>2. En los comprobantes de retención, se deberá señalar en la fecha de emisión, mes y año como período fiscal.</w:t>
      </w:r>
      <w:r w:rsidRPr="009E7B82">
        <w:rPr>
          <w:rFonts w:ascii="Tahoma" w:hAnsi="Tahoma" w:cs="Tahoma"/>
          <w:sz w:val="16"/>
          <w:szCs w:val="20"/>
          <w:lang w:val="es-EC" w:eastAsia="es-EC"/>
        </w:rPr>
        <w:br/>
      </w:r>
      <w:r w:rsidRPr="009E7B82">
        <w:rPr>
          <w:rFonts w:ascii="Tahoma" w:hAnsi="Tahoma" w:cs="Tahoma"/>
          <w:sz w:val="16"/>
          <w:szCs w:val="20"/>
          <w:lang w:val="es-EC" w:eastAsia="es-EC"/>
        </w:rPr>
        <w:br/>
        <w:t>3. Respecto al número secuencial, este será de nueve dígitos y no podrá omitirse los ceros a la izquierda.</w:t>
      </w:r>
      <w:r w:rsidRPr="009E7B82">
        <w:rPr>
          <w:rFonts w:ascii="Tahoma" w:hAnsi="Tahoma" w:cs="Tahoma"/>
          <w:sz w:val="16"/>
          <w:szCs w:val="20"/>
          <w:lang w:val="es-EC" w:eastAsia="es-EC"/>
        </w:rPr>
        <w:br/>
      </w:r>
      <w:r w:rsidRPr="009E7B82">
        <w:rPr>
          <w:rFonts w:ascii="Tahoma" w:hAnsi="Tahoma" w:cs="Tahoma"/>
          <w:sz w:val="16"/>
          <w:szCs w:val="20"/>
          <w:lang w:val="es-EC" w:eastAsia="es-EC"/>
        </w:rPr>
        <w:br/>
        <w:t>Segunda.- El Servicio de Rentas Internas mantendrá a disposición de los sujetos pasivos una herramienta gratuita con la cual podrán generar sus comprobantes electrónicos, sin perjuicio de que los contribuyentes puedan utilizar sus propios sistemas computarizados e informáticos.</w:t>
      </w:r>
      <w:r w:rsidRPr="009E7B82">
        <w:rPr>
          <w:rFonts w:ascii="Tahoma" w:hAnsi="Tahoma" w:cs="Tahoma"/>
          <w:sz w:val="16"/>
          <w:szCs w:val="20"/>
          <w:lang w:val="es-EC" w:eastAsia="es-EC"/>
        </w:rPr>
        <w:br/>
      </w:r>
      <w:r w:rsidRPr="009E7B82">
        <w:rPr>
          <w:rFonts w:ascii="Tahoma" w:hAnsi="Tahoma" w:cs="Tahoma"/>
          <w:sz w:val="16"/>
          <w:szCs w:val="20"/>
          <w:lang w:val="es-EC" w:eastAsia="es-EC"/>
        </w:rPr>
        <w:br/>
        <w:t>Tercera.- Es responsabilidad del emisor garantizar al receptor que los comprobantes electrónicos emitidos, cumplan con lo establecido en la presente resolución, las definiciones, lineamientos y especificaciones técnicas para la implementación del esquema de emisión de comprobantes electrónicos, señalados en la "Ficha Técnica" publicada en el portal web institucional www.sri.gob.ec.</w:t>
      </w:r>
      <w:r w:rsidRPr="009E7B82">
        <w:rPr>
          <w:rFonts w:ascii="Tahoma" w:hAnsi="Tahoma" w:cs="Tahoma"/>
          <w:sz w:val="16"/>
          <w:szCs w:val="20"/>
          <w:lang w:val="es-EC" w:eastAsia="es-EC"/>
        </w:rPr>
        <w:br/>
      </w:r>
      <w:r w:rsidRPr="009E7B82">
        <w:rPr>
          <w:rFonts w:ascii="Tahoma" w:hAnsi="Tahoma" w:cs="Tahoma"/>
          <w:sz w:val="16"/>
          <w:szCs w:val="20"/>
          <w:lang w:val="es-EC" w:eastAsia="es-EC"/>
        </w:rPr>
        <w:br/>
        <w:t>Cuarta.- Los obligados al uso del esquema de emisión electrónica de comprobantes de venta, retención y documentos complementarios, a partir de 01 mayo de 2019 emitirán únicamente comprobantes electrónicos en toda transacción, inclusive las realizadas a consumidor final.</w:t>
      </w:r>
      <w:r w:rsidRPr="009E7B82">
        <w:rPr>
          <w:rFonts w:ascii="Tahoma" w:hAnsi="Tahoma" w:cs="Tahoma"/>
          <w:sz w:val="16"/>
          <w:szCs w:val="20"/>
          <w:lang w:val="es-EC" w:eastAsia="es-EC"/>
        </w:rPr>
        <w:br/>
      </w:r>
      <w:r w:rsidRPr="009E7B82">
        <w:rPr>
          <w:rFonts w:ascii="Tahoma" w:hAnsi="Tahoma" w:cs="Tahoma"/>
          <w:sz w:val="16"/>
          <w:szCs w:val="20"/>
          <w:lang w:val="es-EC" w:eastAsia="es-EC"/>
        </w:rPr>
        <w:br/>
        <w:t>Quinta.- El Servicio de Rentas Internas pondrá a disposición de los sujetos pasivos, a partir de enero de 2019 las especificaciones detalladas en los archivos "XML" y "XSD" de las Liquidaciones de Compras de Bienes y Prestación de Servicios, para el desarrollo dentro de sus sistemas de comprobantes electrónicos. Únicamente para este tipo de comprobantes el plazo de implementación será hasta el 31 de mayo de 2019.</w:t>
      </w:r>
      <w:r w:rsidRPr="009E7B82">
        <w:rPr>
          <w:rFonts w:ascii="Tahoma" w:hAnsi="Tahoma" w:cs="Tahoma"/>
          <w:sz w:val="16"/>
          <w:szCs w:val="20"/>
          <w:lang w:val="es-EC" w:eastAsia="es-EC"/>
        </w:rPr>
        <w:br/>
      </w:r>
      <w:r w:rsidRPr="009E7B82">
        <w:rPr>
          <w:rFonts w:ascii="Tahoma" w:hAnsi="Tahoma" w:cs="Tahoma"/>
          <w:sz w:val="16"/>
          <w:szCs w:val="20"/>
          <w:lang w:val="es-EC" w:eastAsia="es-EC"/>
        </w:rPr>
        <w:br/>
        <w:t>Sexta.- En aquellos actos normativos en los cuales se hace referencia a la Resolución No. NAC-DGERCGC14-00790, se deberá entender que hacen mención a la presente resolución.</w:t>
      </w:r>
      <w:r w:rsidRPr="009E7B82">
        <w:rPr>
          <w:rFonts w:ascii="Tahoma" w:hAnsi="Tahoma" w:cs="Tahoma"/>
          <w:sz w:val="16"/>
          <w:szCs w:val="20"/>
          <w:lang w:val="es-EC" w:eastAsia="es-EC"/>
        </w:rPr>
        <w:br/>
      </w:r>
    </w:p>
    <w:p w:rsidR="009E7B82" w:rsidRDefault="009E7B82" w:rsidP="009E7B82">
      <w:pPr>
        <w:shd w:val="clear" w:color="auto" w:fill="FFFFFF"/>
        <w:rPr>
          <w:rFonts w:ascii="Helvetica" w:hAnsi="Helvetica" w:cs="Helvetica"/>
          <w:color w:val="404040"/>
          <w:sz w:val="20"/>
          <w:szCs w:val="20"/>
          <w:lang w:val="es-EC" w:eastAsia="es-EC"/>
        </w:rPr>
        <w:sectPr w:rsidR="009E7B82" w:rsidSect="009E7B82">
          <w:type w:val="continuous"/>
          <w:pgSz w:w="11906" w:h="16838"/>
          <w:pgMar w:top="720" w:right="720" w:bottom="720" w:left="720" w:header="708" w:footer="105" w:gutter="0"/>
          <w:cols w:num="2" w:space="708"/>
          <w:docGrid w:linePitch="360"/>
        </w:sectPr>
      </w:pPr>
      <w:r w:rsidRPr="009E7B82">
        <w:rPr>
          <w:rFonts w:ascii="Tahoma" w:hAnsi="Tahoma" w:cs="Tahoma"/>
          <w:b/>
          <w:sz w:val="16"/>
          <w:szCs w:val="20"/>
          <w:lang w:val="es-EC" w:eastAsia="es-EC"/>
        </w:rPr>
        <w:t>DISPOSICIÓN DEROGATORIA</w:t>
      </w:r>
      <w:r w:rsidRPr="009E7B82">
        <w:rPr>
          <w:rFonts w:ascii="Tahoma" w:hAnsi="Tahoma" w:cs="Tahoma"/>
          <w:b/>
          <w:sz w:val="16"/>
          <w:szCs w:val="20"/>
          <w:lang w:val="es-EC" w:eastAsia="es-EC"/>
        </w:rPr>
        <w:br/>
      </w:r>
      <w:r w:rsidRPr="009E7B82">
        <w:rPr>
          <w:rFonts w:ascii="Tahoma" w:hAnsi="Tahoma" w:cs="Tahoma"/>
          <w:b/>
          <w:sz w:val="16"/>
          <w:szCs w:val="20"/>
          <w:lang w:val="es-EC" w:eastAsia="es-EC"/>
        </w:rPr>
        <w:br/>
        <w:t>Única.-</w:t>
      </w:r>
      <w:r w:rsidRPr="009E7B82">
        <w:rPr>
          <w:rFonts w:ascii="Tahoma" w:hAnsi="Tahoma" w:cs="Tahoma"/>
          <w:sz w:val="16"/>
          <w:szCs w:val="20"/>
          <w:lang w:val="es-EC" w:eastAsia="es-EC"/>
        </w:rPr>
        <w:t> Deróguese la Resolución No. NAC-DGERCGC14-00790 publicada en el Tercer Suplemento del Registro Oficial N. 346 de fecha 02 de octubre del 2014, y su reforma.</w:t>
      </w:r>
      <w:r w:rsidRPr="009E7B82">
        <w:rPr>
          <w:rFonts w:ascii="Tahoma" w:hAnsi="Tahoma" w:cs="Tahoma"/>
          <w:sz w:val="16"/>
          <w:szCs w:val="20"/>
          <w:lang w:val="es-EC" w:eastAsia="es-EC"/>
        </w:rPr>
        <w:br/>
      </w:r>
      <w:r w:rsidRPr="009E7B82">
        <w:rPr>
          <w:rFonts w:ascii="Tahoma" w:hAnsi="Tahoma" w:cs="Tahoma"/>
          <w:sz w:val="16"/>
          <w:szCs w:val="20"/>
          <w:lang w:val="es-EC" w:eastAsia="es-EC"/>
        </w:rPr>
        <w:br/>
      </w:r>
      <w:r w:rsidRPr="009E7B82">
        <w:rPr>
          <w:rFonts w:ascii="Tahoma" w:hAnsi="Tahoma" w:cs="Tahoma"/>
          <w:b/>
          <w:sz w:val="16"/>
          <w:szCs w:val="20"/>
          <w:lang w:val="es-EC" w:eastAsia="es-EC"/>
        </w:rPr>
        <w:t>DISPOSICIÓN FINAL.-</w:t>
      </w:r>
      <w:r w:rsidRPr="009E7B82">
        <w:rPr>
          <w:rFonts w:ascii="Tahoma" w:hAnsi="Tahoma" w:cs="Tahoma"/>
          <w:sz w:val="16"/>
          <w:szCs w:val="20"/>
          <w:lang w:val="es-EC" w:eastAsia="es-EC"/>
        </w:rPr>
        <w:t> La presente Resolución entrará en vigencia a partir de su publicación en el Registro Oficial</w:t>
      </w:r>
    </w:p>
    <w:p w:rsidR="009E7B82" w:rsidRPr="009E7B82" w:rsidRDefault="009E7B82" w:rsidP="009E7B82">
      <w:pPr>
        <w:shd w:val="clear" w:color="auto" w:fill="FFFFFF"/>
        <w:jc w:val="center"/>
        <w:rPr>
          <w:rFonts w:ascii="Helvetica" w:hAnsi="Helvetica" w:cs="Helvetica"/>
          <w:color w:val="404040"/>
          <w:sz w:val="20"/>
          <w:szCs w:val="20"/>
          <w:lang w:val="es-EC" w:eastAsia="es-EC"/>
        </w:rPr>
      </w:pPr>
      <w:r w:rsidRPr="009E7B82">
        <w:rPr>
          <w:rFonts w:ascii="Helvetica" w:hAnsi="Helvetica" w:cs="Helvetica"/>
          <w:color w:val="404040"/>
          <w:sz w:val="20"/>
          <w:szCs w:val="20"/>
          <w:lang w:val="es-EC" w:eastAsia="es-EC"/>
        </w:rPr>
        <w:lastRenderedPageBreak/>
        <w:t>.</w:t>
      </w:r>
    </w:p>
    <w:p w:rsidR="00977482" w:rsidRDefault="00977482" w:rsidP="00977482">
      <w:pPr>
        <w:pStyle w:val="Textoindependiente"/>
        <w:spacing w:after="0"/>
        <w:rPr>
          <w:b/>
          <w:color w:val="006666"/>
          <w:sz w:val="20"/>
          <w:szCs w:val="20"/>
        </w:rPr>
      </w:pPr>
    </w:p>
    <w:p w:rsidR="0040494A" w:rsidRDefault="0040494A" w:rsidP="00977482">
      <w:pPr>
        <w:pStyle w:val="Textoindependiente"/>
        <w:spacing w:after="0"/>
        <w:rPr>
          <w:b/>
          <w:color w:val="006666"/>
          <w:sz w:val="20"/>
          <w:szCs w:val="20"/>
        </w:rPr>
      </w:pPr>
    </w:p>
    <w:p w:rsidR="00977482" w:rsidRPr="0040494A" w:rsidRDefault="009E7B82" w:rsidP="00977482">
      <w:pPr>
        <w:pStyle w:val="Textoindependiente"/>
        <w:spacing w:after="0"/>
        <w:rPr>
          <w:b/>
          <w:bCs/>
          <w:sz w:val="32"/>
        </w:rPr>
      </w:pPr>
      <w:r w:rsidRPr="0040494A">
        <w:rPr>
          <w:b/>
          <w:bCs/>
          <w:sz w:val="32"/>
        </w:rPr>
        <w:t>Suplemento No. 255,</w:t>
      </w:r>
      <w:r w:rsidR="0040494A">
        <w:rPr>
          <w:b/>
          <w:bCs/>
          <w:sz w:val="32"/>
        </w:rPr>
        <w:t xml:space="preserve"> </w:t>
      </w:r>
      <w:r w:rsidRPr="0040494A">
        <w:rPr>
          <w:b/>
          <w:bCs/>
          <w:sz w:val="32"/>
        </w:rPr>
        <w:t>Martes 05 de Junio de 2018</w:t>
      </w:r>
    </w:p>
    <w:p w:rsidR="009E7B82" w:rsidRPr="0040494A" w:rsidRDefault="009E7B82" w:rsidP="00977482">
      <w:pPr>
        <w:pStyle w:val="Textoindependiente"/>
        <w:spacing w:after="0"/>
        <w:rPr>
          <w:rFonts w:ascii="Arial" w:hAnsi="Arial" w:cs="Arial"/>
          <w:color w:val="76838F"/>
          <w:szCs w:val="72"/>
          <w:shd w:val="clear" w:color="auto" w:fill="FFFFFF"/>
        </w:rPr>
      </w:pPr>
    </w:p>
    <w:p w:rsidR="009E7B82" w:rsidRDefault="009E7B82" w:rsidP="0040494A">
      <w:pPr>
        <w:pStyle w:val="Textoindependiente"/>
        <w:numPr>
          <w:ilvl w:val="0"/>
          <w:numId w:val="1"/>
        </w:numPr>
        <w:spacing w:after="0"/>
        <w:rPr>
          <w:rFonts w:ascii="Times New Roman" w:hAnsi="Times New Roman"/>
          <w:lang w:val="es-EC"/>
        </w:rPr>
      </w:pPr>
      <w:r w:rsidRPr="0040494A">
        <w:rPr>
          <w:b/>
          <w:color w:val="006666"/>
          <w:sz w:val="20"/>
          <w:szCs w:val="20"/>
        </w:rPr>
        <w:t xml:space="preserve">Circular </w:t>
      </w:r>
      <w:hyperlink r:id="rId15" w:history="1">
        <w:r w:rsidRPr="0040494A">
          <w:rPr>
            <w:b/>
            <w:color w:val="006666"/>
            <w:sz w:val="20"/>
            <w:szCs w:val="20"/>
          </w:rPr>
          <w:t>NAC-DGECCGC18-00000004</w:t>
        </w:r>
      </w:hyperlink>
      <w:r w:rsidRPr="0040494A">
        <w:rPr>
          <w:b/>
          <w:color w:val="006666"/>
          <w:sz w:val="20"/>
          <w:szCs w:val="20"/>
        </w:rPr>
        <w:t xml:space="preserve">: </w:t>
      </w:r>
      <w:r w:rsidRPr="0040494A">
        <w:rPr>
          <w:sz w:val="20"/>
          <w:szCs w:val="20"/>
        </w:rPr>
        <w:t>A los sujetos pasivos del Impuesto a la Renta</w:t>
      </w:r>
      <w:r w:rsidRPr="0040494A">
        <w:rPr>
          <w:sz w:val="20"/>
          <w:szCs w:val="20"/>
        </w:rPr>
        <w:br/>
      </w:r>
    </w:p>
    <w:p w:rsidR="0040494A" w:rsidRDefault="0040494A" w:rsidP="009E7B82">
      <w:pPr>
        <w:shd w:val="clear" w:color="auto" w:fill="FFFFFF"/>
        <w:jc w:val="center"/>
        <w:rPr>
          <w:rFonts w:ascii="Tahoma" w:hAnsi="Tahoma" w:cs="Tahoma"/>
          <w:sz w:val="16"/>
          <w:szCs w:val="20"/>
          <w:shd w:val="clear" w:color="auto" w:fill="FFFFFF"/>
        </w:rPr>
        <w:sectPr w:rsidR="0040494A" w:rsidSect="00A05240">
          <w:type w:val="continuous"/>
          <w:pgSz w:w="11906" w:h="16838"/>
          <w:pgMar w:top="720" w:right="720" w:bottom="720" w:left="720" w:header="708" w:footer="105" w:gutter="0"/>
          <w:cols w:space="708"/>
          <w:docGrid w:linePitch="360"/>
        </w:sectPr>
      </w:pPr>
    </w:p>
    <w:p w:rsidR="009E7B82" w:rsidRPr="0040494A" w:rsidRDefault="009E7B82" w:rsidP="0040494A">
      <w:pPr>
        <w:shd w:val="clear" w:color="auto" w:fill="FFFFFF"/>
        <w:rPr>
          <w:rFonts w:ascii="Tahoma" w:hAnsi="Tahoma" w:cs="Tahoma"/>
          <w:sz w:val="16"/>
          <w:szCs w:val="20"/>
          <w:shd w:val="clear" w:color="auto" w:fill="FFFFFF"/>
        </w:rPr>
      </w:pPr>
      <w:r w:rsidRPr="0040494A">
        <w:rPr>
          <w:rFonts w:ascii="Tahoma" w:hAnsi="Tahoma" w:cs="Tahoma"/>
          <w:sz w:val="16"/>
          <w:szCs w:val="20"/>
          <w:shd w:val="clear" w:color="auto" w:fill="FFFFFF"/>
        </w:rPr>
        <w:lastRenderedPageBreak/>
        <w:t>El artículo 226 de la Constitución de la República del Ecuador dispone que las instituciones del Estado, sus organismos, dependencias, las servidoras o servidores públicos y las personas que actúen en virtud de una potestad estatal ejercerán solamente las competencias y facultades que les sean atribuidas en la Constitución y la ley.</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lastRenderedPageBreak/>
        <w:t>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 xml:space="preserve">El artículo 17 del Código Tributario establece que cuando el hecho </w:t>
      </w:r>
      <w:r w:rsidRPr="0040494A">
        <w:rPr>
          <w:rFonts w:ascii="Tahoma" w:hAnsi="Tahoma" w:cs="Tahoma"/>
          <w:sz w:val="16"/>
          <w:szCs w:val="20"/>
          <w:shd w:val="clear" w:color="auto" w:fill="FFFFFF"/>
        </w:rPr>
        <w:lastRenderedPageBreak/>
        <w:t>generador consista en un acto jurídico se calificará conforme a su verdadera esencia y naturaleza jurídica, cualquier que sea la forma elegida o la denominación utilizada por los interesados; y, cuando el hecho generador se delimite a conceptos económicos, el criterio para calificarlos tendrá en cuenta las situaciones o relaciones económicas que efectivamente existan o se establezcan por los interesados, con independencia de las formas jurídicas que se utilicen.</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Conforme al artículo 298 del Código Orgánico Integral Penal, incurre en defraudación tributaria la persona que simule, oculte, omita, falsee o engañe a la Administración Tributaria para dejar de cumplir con sus obligaciones o para dejar de pagar en todo o en parte los tributos realmente debidos, en provecho propio o de un tercero.</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El artículo 73 del Código Tributario, establece que la actuación de la Administración Tributaria, se desarrollará con arreglo a los principios de simplificación, celeridad y eficacia.</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Finalmente, de acuerdo a lo establecido en el artículo 7 del Código Tributario, en concordancia con el artículo 8 de la Ley de Creación del Servicio de Rentas Internas, es facultad del Director General del Servicio de Rentas Internas expedir las resoluciones, circulares o disposiciones de carácter general y obligatorio necesarias para la aplicación de las normas legales y reglamentarias.</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Con fundamento en la normativa expuesta, el Servicio de Rentas Internas recuerda a los sujetos pasivos del Impuesto a la Renta, lo siguiente:</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1. La operación de crédito denominada </w:t>
      </w:r>
      <w:r w:rsidRPr="0040494A">
        <w:rPr>
          <w:rFonts w:ascii="Tahoma" w:hAnsi="Tahoma" w:cs="Tahoma"/>
          <w:i/>
          <w:iCs/>
          <w:sz w:val="16"/>
          <w:szCs w:val="20"/>
          <w:shd w:val="clear" w:color="auto" w:fill="FFFFFF"/>
        </w:rPr>
        <w:t>"back to back", </w:t>
      </w:r>
      <w:r w:rsidRPr="0040494A">
        <w:rPr>
          <w:rFonts w:ascii="Tahoma" w:hAnsi="Tahoma" w:cs="Tahoma"/>
          <w:sz w:val="16"/>
          <w:szCs w:val="20"/>
          <w:shd w:val="clear" w:color="auto" w:fill="FFFFFF"/>
        </w:rPr>
        <w:t xml:space="preserve">ha sido </w:t>
      </w:r>
      <w:r w:rsidRPr="0040494A">
        <w:rPr>
          <w:rFonts w:ascii="Tahoma" w:hAnsi="Tahoma" w:cs="Tahoma"/>
          <w:sz w:val="16"/>
          <w:szCs w:val="20"/>
          <w:shd w:val="clear" w:color="auto" w:fill="FFFFFF"/>
        </w:rPr>
        <w:lastRenderedPageBreak/>
        <w:t>detectada por el Servicio de Rentas Internas como una práctica utilizada para disminuir artificialmente el pago de impuestos. A través de este tipo de endeudamiento indirecto, se obtienen préstamos de entidades bancarias nacionales o extranjeras, a las que previamente el receptor del crédito o una parte relacionada del mismo les ha dotado de fondos. En ciertos casos estas operaciones tienen como finalidad deducir de la base imponible del Impuesto a la Renta, un supuesto gasto financiero, cuando en realidad corresponde a un rendimiento de un financiamiento propio.</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2. El artículo 17 del Código Tributario dispone que la calificación del hecho generador responde a la verdadera esencia de la naturaleza del acto jurídico que lo configure, y que los actos de los contribuyentes deberán tener suficiente sustancia económica para ser calificados para fines tributarios.</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3. Consecuentemente, la Administración Tributaria no reconocerá la deducibilidad en el Impuesto a la Renta de los gastos generados por operaciones denominadas </w:t>
      </w:r>
      <w:r w:rsidRPr="0040494A">
        <w:rPr>
          <w:rFonts w:ascii="Tahoma" w:hAnsi="Tahoma" w:cs="Tahoma"/>
          <w:i/>
          <w:iCs/>
          <w:sz w:val="16"/>
          <w:szCs w:val="20"/>
          <w:shd w:val="clear" w:color="auto" w:fill="FFFFFF"/>
        </w:rPr>
        <w:t>"back to back", </w:t>
      </w:r>
      <w:r w:rsidRPr="0040494A">
        <w:rPr>
          <w:rFonts w:ascii="Tahoma" w:hAnsi="Tahoma" w:cs="Tahoma"/>
          <w:sz w:val="16"/>
          <w:szCs w:val="20"/>
          <w:shd w:val="clear" w:color="auto" w:fill="FFFFFF"/>
        </w:rPr>
        <w:t>cuando dentro de los correspondientes análisis técnicos y jurídicos en cada caso, se identifique que realmente se trató de una provisión de fondos propios a favor del receptor del crédito o sus relacionadas.</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4. El Servicio de Rentas Internas en ejercicio de sus facultades legales, controlará la observancia de lo señalado en la presente circular, sin perjuicio de las acciones legales a que hubiere lugar.</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Dado en Quito DM, a 18 de mayo de 2018.</w:t>
      </w:r>
      <w:r w:rsidRPr="0040494A">
        <w:rPr>
          <w:rFonts w:ascii="Tahoma" w:hAnsi="Tahoma" w:cs="Tahoma"/>
          <w:sz w:val="16"/>
          <w:szCs w:val="20"/>
        </w:rPr>
        <w:br/>
      </w:r>
      <w:r w:rsidRPr="0040494A">
        <w:rPr>
          <w:rFonts w:ascii="Tahoma" w:hAnsi="Tahoma" w:cs="Tahoma"/>
          <w:sz w:val="16"/>
          <w:szCs w:val="20"/>
        </w:rPr>
        <w:br/>
      </w:r>
      <w:r w:rsidRPr="0040494A">
        <w:rPr>
          <w:rFonts w:ascii="Tahoma" w:hAnsi="Tahoma" w:cs="Tahoma"/>
          <w:sz w:val="16"/>
          <w:szCs w:val="20"/>
          <w:shd w:val="clear" w:color="auto" w:fill="FFFFFF"/>
        </w:rPr>
        <w:t>Comuníquese y publíquese en el Registro Oficial.</w:t>
      </w:r>
    </w:p>
    <w:p w:rsidR="0040494A" w:rsidRDefault="0040494A" w:rsidP="009E7B82">
      <w:pPr>
        <w:shd w:val="clear" w:color="auto" w:fill="FFFFFF"/>
        <w:jc w:val="center"/>
        <w:rPr>
          <w:rFonts w:ascii="Helvetica" w:hAnsi="Helvetica" w:cs="Helvetica"/>
          <w:color w:val="404040"/>
          <w:sz w:val="20"/>
          <w:szCs w:val="20"/>
          <w:shd w:val="clear" w:color="auto" w:fill="FFFFFF"/>
        </w:rPr>
        <w:sectPr w:rsidR="0040494A" w:rsidSect="0040494A">
          <w:type w:val="continuous"/>
          <w:pgSz w:w="11906" w:h="16838"/>
          <w:pgMar w:top="720" w:right="720" w:bottom="720" w:left="720" w:header="708" w:footer="105" w:gutter="0"/>
          <w:cols w:num="2" w:space="708"/>
          <w:docGrid w:linePitch="360"/>
        </w:sectPr>
      </w:pPr>
    </w:p>
    <w:p w:rsidR="009E7B82" w:rsidRDefault="009E7B82" w:rsidP="009E7B82">
      <w:pPr>
        <w:shd w:val="clear" w:color="auto" w:fill="FFFFFF"/>
        <w:jc w:val="center"/>
        <w:rPr>
          <w:rFonts w:ascii="Helvetica" w:hAnsi="Helvetica" w:cs="Helvetica"/>
          <w:color w:val="404040"/>
          <w:sz w:val="20"/>
          <w:szCs w:val="20"/>
          <w:shd w:val="clear" w:color="auto" w:fill="FFFFFF"/>
        </w:rPr>
      </w:pPr>
    </w:p>
    <w:p w:rsidR="0040494A" w:rsidRDefault="0040494A" w:rsidP="009E7B82">
      <w:pPr>
        <w:shd w:val="clear" w:color="auto" w:fill="FFFFFF"/>
        <w:jc w:val="center"/>
        <w:rPr>
          <w:rFonts w:ascii="Helvetica" w:hAnsi="Helvetica" w:cs="Helvetica"/>
          <w:color w:val="404040"/>
          <w:sz w:val="20"/>
          <w:szCs w:val="20"/>
          <w:shd w:val="clear" w:color="auto" w:fill="FFFFFF"/>
        </w:rPr>
      </w:pPr>
    </w:p>
    <w:p w:rsidR="009E7B82" w:rsidRPr="0040494A" w:rsidRDefault="009E7B82" w:rsidP="0040494A">
      <w:pPr>
        <w:pStyle w:val="Textoindependiente"/>
        <w:numPr>
          <w:ilvl w:val="0"/>
          <w:numId w:val="1"/>
        </w:numPr>
        <w:spacing w:after="0"/>
        <w:rPr>
          <w:sz w:val="20"/>
          <w:szCs w:val="20"/>
        </w:rPr>
      </w:pPr>
      <w:bookmarkStart w:id="0" w:name="_GoBack"/>
      <w:r w:rsidRPr="0040494A">
        <w:rPr>
          <w:b/>
          <w:color w:val="006666"/>
          <w:sz w:val="20"/>
          <w:szCs w:val="20"/>
        </w:rPr>
        <w:t xml:space="preserve">Resolución </w:t>
      </w:r>
      <w:hyperlink r:id="rId16" w:history="1">
        <w:r w:rsidRPr="0040494A">
          <w:rPr>
            <w:b/>
            <w:color w:val="006666"/>
            <w:sz w:val="20"/>
            <w:szCs w:val="20"/>
          </w:rPr>
          <w:t>NAC-DGECCGC18-00000211</w:t>
        </w:r>
      </w:hyperlink>
      <w:r w:rsidRPr="0040494A">
        <w:rPr>
          <w:b/>
          <w:color w:val="006666"/>
          <w:sz w:val="20"/>
          <w:szCs w:val="20"/>
        </w:rPr>
        <w:t xml:space="preserve">: </w:t>
      </w:r>
      <w:r w:rsidRPr="0040494A">
        <w:rPr>
          <w:sz w:val="20"/>
          <w:szCs w:val="20"/>
        </w:rPr>
        <w:t>Refórmese la Resolución No. NAC-DGERCGC15-000032 18, publicada en el Suplemento del Registro Oficial No. 660 de 31 de diciembre de 2015</w:t>
      </w:r>
    </w:p>
    <w:p w:rsidR="009E7B82" w:rsidRDefault="009E7B82" w:rsidP="00977482">
      <w:pPr>
        <w:pStyle w:val="Textoindependiente"/>
        <w:spacing w:after="0"/>
        <w:rPr>
          <w:b/>
          <w:color w:val="009999"/>
          <w:sz w:val="32"/>
        </w:rPr>
      </w:pPr>
    </w:p>
    <w:p w:rsidR="0040494A" w:rsidRDefault="0040494A" w:rsidP="009E7B82">
      <w:pPr>
        <w:shd w:val="clear" w:color="auto" w:fill="FFFFFF"/>
        <w:jc w:val="center"/>
        <w:rPr>
          <w:rFonts w:ascii="Tahoma" w:hAnsi="Tahoma" w:cs="Tahoma"/>
          <w:sz w:val="16"/>
          <w:szCs w:val="16"/>
          <w:lang w:val="es-EC" w:eastAsia="es-EC"/>
        </w:rPr>
      </w:pPr>
    </w:p>
    <w:p w:rsidR="0040494A" w:rsidRDefault="0040494A" w:rsidP="009E7B82">
      <w:pPr>
        <w:shd w:val="clear" w:color="auto" w:fill="FFFFFF"/>
        <w:jc w:val="center"/>
        <w:rPr>
          <w:rFonts w:ascii="Tahoma" w:hAnsi="Tahoma" w:cs="Tahoma"/>
          <w:sz w:val="16"/>
          <w:szCs w:val="16"/>
          <w:lang w:val="es-EC" w:eastAsia="es-EC"/>
        </w:rPr>
        <w:sectPr w:rsidR="0040494A" w:rsidSect="00A05240">
          <w:type w:val="continuous"/>
          <w:pgSz w:w="11906" w:h="16838"/>
          <w:pgMar w:top="720" w:right="720" w:bottom="720" w:left="720" w:header="708" w:footer="105" w:gutter="0"/>
          <w:cols w:space="708"/>
          <w:docGrid w:linePitch="360"/>
        </w:sectPr>
      </w:pPr>
    </w:p>
    <w:p w:rsidR="0040494A" w:rsidRDefault="0040494A" w:rsidP="0040494A">
      <w:pPr>
        <w:shd w:val="clear" w:color="auto" w:fill="FFFFFF"/>
        <w:jc w:val="center"/>
        <w:rPr>
          <w:rFonts w:ascii="Tahoma" w:hAnsi="Tahoma" w:cs="Tahoma"/>
          <w:b/>
          <w:sz w:val="16"/>
          <w:szCs w:val="16"/>
          <w:lang w:val="es-EC" w:eastAsia="es-EC"/>
        </w:rPr>
      </w:pPr>
      <w:r>
        <w:rPr>
          <w:noProof/>
          <w:lang w:val="es-EC" w:eastAsia="es-EC"/>
        </w:rPr>
        <w:drawing>
          <wp:anchor distT="0" distB="0" distL="114300" distR="114300" simplePos="0" relativeHeight="251665408" behindDoc="1" locked="0" layoutInCell="1" allowOverlap="1">
            <wp:simplePos x="0" y="0"/>
            <wp:positionH relativeFrom="margin">
              <wp:posOffset>122903</wp:posOffset>
            </wp:positionH>
            <wp:positionV relativeFrom="paragraph">
              <wp:posOffset>25953</wp:posOffset>
            </wp:positionV>
            <wp:extent cx="2928257" cy="1947662"/>
            <wp:effectExtent l="0" t="0" r="5715" b="0"/>
            <wp:wrapTight wrapText="bothSides">
              <wp:wrapPolygon edited="0">
                <wp:start x="0" y="0"/>
                <wp:lineTo x="0" y="21339"/>
                <wp:lineTo x="21502" y="21339"/>
                <wp:lineTo x="21502" y="0"/>
                <wp:lineTo x="0" y="0"/>
              </wp:wrapPolygon>
            </wp:wrapTight>
            <wp:docPr id="4" name="Imagen 4" descr="cumplimiento tribut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mplimiento tributari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8257" cy="194766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0494A" w:rsidRDefault="0040494A" w:rsidP="0040494A">
      <w:pPr>
        <w:shd w:val="clear" w:color="auto" w:fill="FFFFFF"/>
        <w:jc w:val="center"/>
        <w:rPr>
          <w:rFonts w:ascii="Tahoma" w:hAnsi="Tahoma" w:cs="Tahoma"/>
          <w:b/>
          <w:sz w:val="16"/>
          <w:szCs w:val="16"/>
          <w:lang w:val="es-EC" w:eastAsia="es-EC"/>
        </w:rPr>
      </w:pPr>
    </w:p>
    <w:p w:rsidR="0040494A" w:rsidRDefault="0040494A" w:rsidP="0040494A">
      <w:pPr>
        <w:shd w:val="clear" w:color="auto" w:fill="FFFFFF"/>
        <w:jc w:val="center"/>
        <w:rPr>
          <w:rFonts w:ascii="Tahoma" w:hAnsi="Tahoma" w:cs="Tahoma"/>
          <w:b/>
          <w:sz w:val="16"/>
          <w:szCs w:val="16"/>
          <w:lang w:val="es-EC" w:eastAsia="es-EC"/>
        </w:rPr>
      </w:pPr>
    </w:p>
    <w:p w:rsidR="0040494A" w:rsidRPr="0040494A" w:rsidRDefault="009E7B82" w:rsidP="0040494A">
      <w:pPr>
        <w:shd w:val="clear" w:color="auto" w:fill="FFFFFF"/>
        <w:jc w:val="center"/>
        <w:rPr>
          <w:rFonts w:ascii="Tahoma" w:hAnsi="Tahoma" w:cs="Tahoma"/>
          <w:b/>
          <w:sz w:val="16"/>
          <w:szCs w:val="16"/>
          <w:lang w:val="es-EC" w:eastAsia="es-EC"/>
        </w:rPr>
      </w:pPr>
      <w:r w:rsidRPr="009E7B82">
        <w:rPr>
          <w:rFonts w:ascii="Tahoma" w:hAnsi="Tahoma" w:cs="Tahoma"/>
          <w:b/>
          <w:sz w:val="16"/>
          <w:szCs w:val="16"/>
          <w:lang w:val="es-EC" w:eastAsia="es-EC"/>
        </w:rPr>
        <w:t>Resuelve:</w:t>
      </w:r>
    </w:p>
    <w:p w:rsidR="009E7B82" w:rsidRPr="009E7B82" w:rsidRDefault="009E7B82" w:rsidP="0040494A">
      <w:pPr>
        <w:shd w:val="clear" w:color="auto" w:fill="FFFFFF"/>
        <w:rPr>
          <w:rFonts w:ascii="Tahoma" w:hAnsi="Tahoma" w:cs="Tahoma"/>
          <w:sz w:val="16"/>
          <w:szCs w:val="16"/>
          <w:lang w:val="es-EC" w:eastAsia="es-EC"/>
        </w:rPr>
      </w:pPr>
      <w:r w:rsidRPr="009E7B82">
        <w:rPr>
          <w:rFonts w:ascii="Tahoma" w:hAnsi="Tahoma" w:cs="Tahoma"/>
          <w:sz w:val="16"/>
          <w:szCs w:val="16"/>
          <w:lang w:val="es-EC" w:eastAsia="es-EC"/>
        </w:rPr>
        <w:br/>
        <w:t>Expedir la siguiente reforma a la Resolución No. NAC-DGERCGC15-00003218, publicada en el Primer Suplemento del Registro Oficial No. 660 de 31 de diciembre de 2015, que establece las normas para la elaboración y presentación del informe de cumplimiento tributario y sus anexos, y sus reformas.</w:t>
      </w:r>
      <w:r w:rsidRPr="009E7B82">
        <w:rPr>
          <w:rFonts w:ascii="Tahoma" w:hAnsi="Tahoma" w:cs="Tahoma"/>
          <w:sz w:val="16"/>
          <w:szCs w:val="16"/>
          <w:lang w:val="es-EC" w:eastAsia="es-EC"/>
        </w:rPr>
        <w:br/>
      </w:r>
      <w:r w:rsidRPr="009E7B82">
        <w:rPr>
          <w:rFonts w:ascii="Tahoma" w:hAnsi="Tahoma" w:cs="Tahoma"/>
          <w:sz w:val="16"/>
          <w:szCs w:val="16"/>
          <w:lang w:val="es-EC" w:eastAsia="es-EC"/>
        </w:rPr>
        <w:br/>
      </w:r>
      <w:r w:rsidRPr="009E7B82">
        <w:rPr>
          <w:rFonts w:ascii="Tahoma" w:hAnsi="Tahoma" w:cs="Tahoma"/>
          <w:b/>
          <w:sz w:val="16"/>
          <w:szCs w:val="16"/>
          <w:lang w:val="es-EC" w:eastAsia="es-EC"/>
        </w:rPr>
        <w:t>Artículo Único.-</w:t>
      </w:r>
      <w:r w:rsidRPr="009E7B82">
        <w:rPr>
          <w:rFonts w:ascii="Tahoma" w:hAnsi="Tahoma" w:cs="Tahoma"/>
          <w:sz w:val="16"/>
          <w:szCs w:val="16"/>
          <w:lang w:val="es-EC" w:eastAsia="es-EC"/>
        </w:rPr>
        <w:t> Sustitúyase el artículo 8 de la Resolución No. NAC-DGERCGC15-00003218, publicada en el Primer Suplemento del Registro Oficial 660 de 31 de diciembre de 2015, que establece las normas para la elaboración y presentación del informe de cumplimiento tributario y sus anexos, y sus reformas, por el siguiente:</w:t>
      </w:r>
      <w:r w:rsidRPr="009E7B82">
        <w:rPr>
          <w:rFonts w:ascii="Tahoma" w:hAnsi="Tahoma" w:cs="Tahoma"/>
          <w:sz w:val="16"/>
          <w:szCs w:val="16"/>
          <w:lang w:val="es-EC" w:eastAsia="es-EC"/>
        </w:rPr>
        <w:br/>
      </w:r>
      <w:r w:rsidRPr="009E7B82">
        <w:rPr>
          <w:rFonts w:ascii="Tahoma" w:hAnsi="Tahoma" w:cs="Tahoma"/>
          <w:sz w:val="16"/>
          <w:szCs w:val="16"/>
          <w:lang w:val="es-EC" w:eastAsia="es-EC"/>
        </w:rPr>
        <w:lastRenderedPageBreak/>
        <w:br/>
      </w:r>
      <w:r w:rsidRPr="009E7B82">
        <w:rPr>
          <w:rFonts w:ascii="Tahoma" w:hAnsi="Tahoma" w:cs="Tahoma"/>
          <w:b/>
          <w:sz w:val="16"/>
          <w:szCs w:val="16"/>
          <w:lang w:val="es-EC" w:eastAsia="es-EC"/>
        </w:rPr>
        <w:t>”</w:t>
      </w:r>
      <w:r w:rsidRPr="009E7B82">
        <w:rPr>
          <w:rFonts w:ascii="Tahoma" w:hAnsi="Tahoma" w:cs="Tahoma"/>
          <w:b/>
          <w:i/>
          <w:iCs/>
          <w:sz w:val="16"/>
          <w:szCs w:val="16"/>
          <w:lang w:val="es-EC" w:eastAsia="es-EC"/>
        </w:rPr>
        <w:t>Artículo 8. - Plazo y lugar de presentación. -</w:t>
      </w:r>
      <w:r w:rsidRPr="009E7B82">
        <w:rPr>
          <w:rFonts w:ascii="Tahoma" w:hAnsi="Tahoma" w:cs="Tahoma"/>
          <w:i/>
          <w:iCs/>
          <w:sz w:val="16"/>
          <w:szCs w:val="16"/>
          <w:lang w:val="es-EC" w:eastAsia="es-EC"/>
        </w:rPr>
        <w:t xml:space="preserve"> El Informe de Cumplimiento Tributario y sus anexos deberán presentarse en las Secretarías Zonales o Provinciales del Servicio de Rentas Internas, en el mes de julio del siguiente ejercicio fiscal al que corresponda la información, conforme al noveno dígito del Registro Único de Contribuyentes (RUC) del sujeto pasivo auditado, de acuerdo al siguiente calendario:</w:t>
      </w:r>
    </w:p>
    <w:p w:rsidR="009E7B82" w:rsidRPr="009E7B82" w:rsidRDefault="009E7B82" w:rsidP="009E7B82">
      <w:pPr>
        <w:shd w:val="clear" w:color="auto" w:fill="FFFFFF"/>
        <w:jc w:val="both"/>
        <w:rPr>
          <w:rFonts w:ascii="Tahoma" w:hAnsi="Tahoma" w:cs="Tahoma"/>
          <w:sz w:val="16"/>
          <w:szCs w:val="16"/>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6"/>
        <w:gridCol w:w="1346"/>
      </w:tblGrid>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0494A" w:rsidRDefault="009E7B82" w:rsidP="009E7B82">
            <w:pPr>
              <w:jc w:val="center"/>
              <w:rPr>
                <w:rFonts w:ascii="Tahoma" w:hAnsi="Tahoma" w:cs="Tahoma"/>
                <w:b/>
                <w:sz w:val="16"/>
                <w:szCs w:val="16"/>
                <w:lang w:val="es-EC" w:eastAsia="es-EC"/>
              </w:rPr>
            </w:pPr>
            <w:r w:rsidRPr="009E7B82">
              <w:rPr>
                <w:rFonts w:ascii="Tahoma" w:hAnsi="Tahoma" w:cs="Tahoma"/>
                <w:b/>
                <w:sz w:val="16"/>
                <w:szCs w:val="16"/>
                <w:lang w:val="es-EC" w:eastAsia="es-EC"/>
              </w:rPr>
              <w:t>Noveno dígito</w:t>
            </w:r>
          </w:p>
          <w:p w:rsidR="009E7B82" w:rsidRPr="009E7B82" w:rsidRDefault="009E7B82" w:rsidP="009E7B82">
            <w:pPr>
              <w:jc w:val="center"/>
              <w:rPr>
                <w:rFonts w:ascii="Tahoma" w:hAnsi="Tahoma" w:cs="Tahoma"/>
                <w:b/>
                <w:sz w:val="16"/>
                <w:szCs w:val="16"/>
                <w:lang w:val="es-EC" w:eastAsia="es-EC"/>
              </w:rPr>
            </w:pPr>
            <w:r w:rsidRPr="009E7B82">
              <w:rPr>
                <w:rFonts w:ascii="Tahoma" w:hAnsi="Tahoma" w:cs="Tahoma"/>
                <w:b/>
                <w:sz w:val="16"/>
                <w:szCs w:val="16"/>
                <w:lang w:val="es-EC" w:eastAsia="es-EC"/>
              </w:rPr>
              <w:t xml:space="preserve"> del RUC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0494A" w:rsidRDefault="009E7B82" w:rsidP="009E7B82">
            <w:pPr>
              <w:jc w:val="center"/>
              <w:rPr>
                <w:rFonts w:ascii="Tahoma" w:hAnsi="Tahoma" w:cs="Tahoma"/>
                <w:b/>
                <w:sz w:val="16"/>
                <w:szCs w:val="16"/>
                <w:lang w:val="es-EC" w:eastAsia="es-EC"/>
              </w:rPr>
            </w:pPr>
            <w:r w:rsidRPr="009E7B82">
              <w:rPr>
                <w:rFonts w:ascii="Tahoma" w:hAnsi="Tahoma" w:cs="Tahoma"/>
                <w:b/>
                <w:sz w:val="16"/>
                <w:szCs w:val="16"/>
                <w:lang w:val="es-EC" w:eastAsia="es-EC"/>
              </w:rPr>
              <w:t xml:space="preserve">Fecha máxima </w:t>
            </w:r>
          </w:p>
          <w:p w:rsidR="009E7B82" w:rsidRPr="009E7B82" w:rsidRDefault="009E7B82" w:rsidP="009E7B82">
            <w:pPr>
              <w:jc w:val="center"/>
              <w:rPr>
                <w:rFonts w:ascii="Tahoma" w:hAnsi="Tahoma" w:cs="Tahoma"/>
                <w:b/>
                <w:sz w:val="16"/>
                <w:szCs w:val="16"/>
                <w:lang w:val="es-EC" w:eastAsia="es-EC"/>
              </w:rPr>
            </w:pPr>
            <w:r w:rsidRPr="009E7B82">
              <w:rPr>
                <w:rFonts w:ascii="Tahoma" w:hAnsi="Tahoma" w:cs="Tahoma"/>
                <w:b/>
                <w:sz w:val="16"/>
                <w:szCs w:val="16"/>
                <w:lang w:val="es-EC" w:eastAsia="es-EC"/>
              </w:rPr>
              <w:t>de presentación </w:t>
            </w:r>
          </w:p>
        </w:tc>
      </w:tr>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1 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10 de julio </w:t>
            </w:r>
          </w:p>
        </w:tc>
      </w:tr>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2 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12 de julio </w:t>
            </w:r>
          </w:p>
        </w:tc>
      </w:tr>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3 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14 de julio </w:t>
            </w:r>
          </w:p>
        </w:tc>
      </w:tr>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4 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16 de julio </w:t>
            </w:r>
          </w:p>
        </w:tc>
      </w:tr>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5 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18 de julio </w:t>
            </w:r>
          </w:p>
        </w:tc>
      </w:tr>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6 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20 de julio </w:t>
            </w:r>
          </w:p>
        </w:tc>
      </w:tr>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7 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22 de julio </w:t>
            </w:r>
          </w:p>
        </w:tc>
      </w:tr>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8 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24 de julio </w:t>
            </w:r>
          </w:p>
        </w:tc>
      </w:tr>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9 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26 de julio </w:t>
            </w:r>
          </w:p>
        </w:tc>
      </w:tr>
      <w:tr w:rsidR="0040494A" w:rsidRPr="009E7B82" w:rsidTr="009E7B82">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0 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E7B82" w:rsidRPr="009E7B82" w:rsidRDefault="009E7B82" w:rsidP="009E7B82">
            <w:pPr>
              <w:jc w:val="center"/>
              <w:rPr>
                <w:rFonts w:ascii="Tahoma" w:hAnsi="Tahoma" w:cs="Tahoma"/>
                <w:sz w:val="16"/>
                <w:szCs w:val="16"/>
                <w:lang w:val="es-EC" w:eastAsia="es-EC"/>
              </w:rPr>
            </w:pPr>
            <w:r w:rsidRPr="009E7B82">
              <w:rPr>
                <w:rFonts w:ascii="Tahoma" w:hAnsi="Tahoma" w:cs="Tahoma"/>
                <w:sz w:val="16"/>
                <w:szCs w:val="16"/>
                <w:lang w:val="es-EC" w:eastAsia="es-EC"/>
              </w:rPr>
              <w:t>28 de julio </w:t>
            </w:r>
          </w:p>
        </w:tc>
      </w:tr>
    </w:tbl>
    <w:p w:rsidR="009E7B82" w:rsidRPr="009E7B82" w:rsidRDefault="009E7B82" w:rsidP="009E7B82">
      <w:pPr>
        <w:shd w:val="clear" w:color="auto" w:fill="FFFFFF"/>
        <w:jc w:val="both"/>
        <w:rPr>
          <w:rFonts w:ascii="Tahoma" w:hAnsi="Tahoma" w:cs="Tahoma"/>
          <w:sz w:val="16"/>
          <w:szCs w:val="16"/>
          <w:lang w:val="es-EC" w:eastAsia="es-EC"/>
        </w:rPr>
      </w:pPr>
    </w:p>
    <w:p w:rsidR="0040494A" w:rsidRDefault="009E7B82" w:rsidP="009E7B82">
      <w:pPr>
        <w:shd w:val="clear" w:color="auto" w:fill="FFFFFF"/>
        <w:jc w:val="both"/>
        <w:rPr>
          <w:rFonts w:ascii="Tahoma" w:hAnsi="Tahoma" w:cs="Tahoma"/>
          <w:i/>
          <w:iCs/>
          <w:sz w:val="16"/>
          <w:szCs w:val="16"/>
          <w:lang w:val="es-EC" w:eastAsia="es-EC"/>
        </w:rPr>
      </w:pPr>
      <w:r w:rsidRPr="009E7B82">
        <w:rPr>
          <w:rFonts w:ascii="Tahoma" w:hAnsi="Tahoma" w:cs="Tahoma"/>
          <w:i/>
          <w:iCs/>
          <w:sz w:val="16"/>
          <w:szCs w:val="16"/>
          <w:lang w:val="es-EC" w:eastAsia="es-EC"/>
        </w:rPr>
        <w:t>Cuando una fecha de vencimiento coincida con días de descanso obligatorio o feriados nacionales o locales, aquella se trasladará al siguiente día hábil, a menos que por efectos del traslado, la fecha de vencimiento corresponda al siguiente mes, en cuyo caso no aplicará esta regla, y la fecha de vencimiento deberá adelantarse al último día hábil del mes de vencimiento. "</w:t>
      </w:r>
    </w:p>
    <w:p w:rsidR="009E7B82" w:rsidRPr="009E7B82" w:rsidRDefault="009E7B82" w:rsidP="009E7B82">
      <w:pPr>
        <w:shd w:val="clear" w:color="auto" w:fill="FFFFFF"/>
        <w:jc w:val="both"/>
        <w:rPr>
          <w:rFonts w:ascii="Tahoma" w:hAnsi="Tahoma" w:cs="Tahoma"/>
          <w:sz w:val="16"/>
          <w:szCs w:val="16"/>
          <w:lang w:val="es-EC" w:eastAsia="es-EC"/>
        </w:rPr>
      </w:pPr>
      <w:r w:rsidRPr="009E7B82">
        <w:rPr>
          <w:rFonts w:ascii="Tahoma" w:hAnsi="Tahoma" w:cs="Tahoma"/>
          <w:sz w:val="16"/>
          <w:szCs w:val="16"/>
          <w:lang w:val="es-EC" w:eastAsia="es-EC"/>
        </w:rPr>
        <w:br/>
      </w:r>
      <w:r w:rsidRPr="009E7B82">
        <w:rPr>
          <w:rFonts w:ascii="Tahoma" w:hAnsi="Tahoma" w:cs="Tahoma"/>
          <w:b/>
          <w:sz w:val="16"/>
          <w:szCs w:val="16"/>
          <w:lang w:val="es-EC" w:eastAsia="es-EC"/>
        </w:rPr>
        <w:t>Disposición Final.-</w:t>
      </w:r>
      <w:r w:rsidRPr="009E7B82">
        <w:rPr>
          <w:rFonts w:ascii="Tahoma" w:hAnsi="Tahoma" w:cs="Tahoma"/>
          <w:sz w:val="16"/>
          <w:szCs w:val="16"/>
          <w:lang w:val="es-EC" w:eastAsia="es-EC"/>
        </w:rPr>
        <w:t> Esta Resolución entrará en vigencia a partir de su publicación en el Registro Oficial.</w:t>
      </w:r>
    </w:p>
    <w:p w:rsidR="009E7B82" w:rsidRPr="0040494A" w:rsidRDefault="009E7B82" w:rsidP="00977482">
      <w:pPr>
        <w:pStyle w:val="Textoindependiente"/>
        <w:spacing w:after="0"/>
        <w:rPr>
          <w:rFonts w:ascii="Tahoma" w:hAnsi="Tahoma" w:cs="Tahoma"/>
          <w:b/>
          <w:sz w:val="16"/>
          <w:szCs w:val="16"/>
        </w:rPr>
      </w:pPr>
    </w:p>
    <w:p w:rsidR="0040494A" w:rsidRDefault="0040494A" w:rsidP="00977482">
      <w:pPr>
        <w:pStyle w:val="Textoindependiente"/>
        <w:spacing w:after="0"/>
        <w:rPr>
          <w:b/>
          <w:color w:val="009999"/>
          <w:sz w:val="32"/>
        </w:rPr>
        <w:sectPr w:rsidR="0040494A" w:rsidSect="0040494A">
          <w:type w:val="continuous"/>
          <w:pgSz w:w="11906" w:h="16838"/>
          <w:pgMar w:top="720" w:right="720" w:bottom="720" w:left="720" w:header="708" w:footer="105" w:gutter="0"/>
          <w:cols w:num="2" w:space="708"/>
          <w:docGrid w:linePitch="360"/>
        </w:sectPr>
      </w:pPr>
    </w:p>
    <w:p w:rsidR="009E7B82" w:rsidRDefault="009E7B82" w:rsidP="00977482">
      <w:pPr>
        <w:pStyle w:val="Textoindependiente"/>
        <w:spacing w:after="0"/>
        <w:rPr>
          <w:b/>
          <w:color w:val="009999"/>
          <w:sz w:val="32"/>
        </w:rPr>
      </w:pPr>
    </w:p>
    <w:p w:rsidR="0040494A" w:rsidRDefault="0040494A" w:rsidP="00977482">
      <w:pPr>
        <w:pStyle w:val="Textoindependiente"/>
        <w:spacing w:after="0"/>
        <w:rPr>
          <w:b/>
          <w:color w:val="009999"/>
          <w:sz w:val="32"/>
        </w:rPr>
      </w:pPr>
    </w:p>
    <w:p w:rsidR="0040494A" w:rsidRDefault="0040494A" w:rsidP="00977482">
      <w:pPr>
        <w:pStyle w:val="Textoindependiente"/>
        <w:spacing w:after="0"/>
        <w:rPr>
          <w:b/>
          <w:color w:val="009999"/>
          <w:sz w:val="32"/>
        </w:rPr>
      </w:pPr>
    </w:p>
    <w:p w:rsidR="0040494A" w:rsidRDefault="0040494A" w:rsidP="00977482">
      <w:pPr>
        <w:pStyle w:val="Textoindependiente"/>
        <w:spacing w:after="0"/>
        <w:rPr>
          <w:b/>
          <w:color w:val="009999"/>
          <w:sz w:val="32"/>
        </w:rPr>
      </w:pPr>
    </w:p>
    <w:bookmarkEnd w:id="0"/>
    <w:p w:rsidR="0040494A" w:rsidRDefault="0040494A" w:rsidP="00977482">
      <w:pPr>
        <w:pStyle w:val="Textoindependiente"/>
        <w:spacing w:after="0"/>
        <w:rPr>
          <w:b/>
          <w:color w:val="009999"/>
          <w:sz w:val="32"/>
        </w:rPr>
      </w:pPr>
    </w:p>
    <w:p w:rsidR="00977482" w:rsidRDefault="00977482" w:rsidP="00977482">
      <w:pPr>
        <w:pStyle w:val="Textoindependiente"/>
        <w:spacing w:after="0"/>
        <w:rPr>
          <w:b/>
          <w:color w:val="009999"/>
          <w:sz w:val="32"/>
        </w:rPr>
      </w:pPr>
      <w:r w:rsidRPr="00977482">
        <w:rPr>
          <w:b/>
          <w:color w:val="009999"/>
          <w:sz w:val="32"/>
        </w:rPr>
        <w:t>MINISTERIO DEL TRABAJO:</w:t>
      </w:r>
    </w:p>
    <w:p w:rsidR="00977482" w:rsidRPr="00977482" w:rsidRDefault="00977482" w:rsidP="00977482">
      <w:pPr>
        <w:pStyle w:val="Textoindependiente"/>
        <w:spacing w:after="0"/>
        <w:rPr>
          <w:b/>
          <w:bCs/>
          <w:sz w:val="32"/>
        </w:rPr>
      </w:pPr>
      <w:r w:rsidRPr="00977482">
        <w:rPr>
          <w:b/>
          <w:color w:val="009999"/>
          <w:sz w:val="32"/>
        </w:rPr>
        <w:br/>
      </w:r>
      <w:r w:rsidRPr="00A656F3">
        <w:rPr>
          <w:b/>
          <w:bCs/>
          <w:sz w:val="32"/>
        </w:rPr>
        <w:t xml:space="preserve">Registro Oficial </w:t>
      </w:r>
      <w:r w:rsidRPr="00977482">
        <w:rPr>
          <w:b/>
          <w:bCs/>
          <w:sz w:val="32"/>
        </w:rPr>
        <w:t>No. 254,</w:t>
      </w:r>
      <w:r>
        <w:rPr>
          <w:b/>
          <w:bCs/>
          <w:sz w:val="32"/>
        </w:rPr>
        <w:t xml:space="preserve"> 04 de j</w:t>
      </w:r>
      <w:r w:rsidRPr="00977482">
        <w:rPr>
          <w:b/>
          <w:bCs/>
          <w:sz w:val="32"/>
        </w:rPr>
        <w:t>unio de 2018</w:t>
      </w:r>
    </w:p>
    <w:p w:rsidR="00977482" w:rsidRDefault="00977482" w:rsidP="00977482">
      <w:pPr>
        <w:pStyle w:val="Textoindependiente"/>
        <w:spacing w:after="0"/>
        <w:ind w:left="720"/>
        <w:rPr>
          <w:b/>
          <w:color w:val="006666"/>
          <w:sz w:val="20"/>
          <w:szCs w:val="20"/>
        </w:rPr>
      </w:pPr>
    </w:p>
    <w:p w:rsidR="00977482" w:rsidRPr="00977482" w:rsidRDefault="00977482" w:rsidP="00977482">
      <w:pPr>
        <w:pStyle w:val="Textoindependiente"/>
        <w:numPr>
          <w:ilvl w:val="0"/>
          <w:numId w:val="1"/>
        </w:numPr>
        <w:spacing w:after="0"/>
        <w:rPr>
          <w:b/>
          <w:color w:val="006666"/>
          <w:sz w:val="20"/>
          <w:szCs w:val="20"/>
        </w:rPr>
      </w:pPr>
      <w:r>
        <w:rPr>
          <w:b/>
          <w:color w:val="006666"/>
          <w:sz w:val="20"/>
          <w:szCs w:val="20"/>
        </w:rPr>
        <w:t xml:space="preserve">Decreto </w:t>
      </w:r>
      <w:hyperlink r:id="rId18" w:history="1">
        <w:r w:rsidRPr="00977482">
          <w:rPr>
            <w:b/>
            <w:color w:val="006666"/>
            <w:sz w:val="20"/>
            <w:szCs w:val="20"/>
          </w:rPr>
          <w:t>MDT-2018-0084</w:t>
        </w:r>
      </w:hyperlink>
      <w:r w:rsidRPr="00977482">
        <w:rPr>
          <w:b/>
          <w:color w:val="006666"/>
          <w:sz w:val="20"/>
          <w:szCs w:val="20"/>
        </w:rPr>
        <w:t xml:space="preserve">: </w:t>
      </w:r>
      <w:r w:rsidRPr="00977482">
        <w:rPr>
          <w:sz w:val="20"/>
          <w:szCs w:val="20"/>
        </w:rPr>
        <w:t>Refórmese la Norma técnica para la contratación de consejeros de gobierno y asesores en las instituciones del Estado</w:t>
      </w:r>
    </w:p>
    <w:p w:rsidR="00977482" w:rsidRDefault="00977482" w:rsidP="00977482">
      <w:pPr>
        <w:pStyle w:val="Textoindependiente"/>
        <w:spacing w:after="0"/>
        <w:ind w:left="720"/>
        <w:rPr>
          <w:b/>
          <w:color w:val="006666"/>
          <w:sz w:val="20"/>
          <w:szCs w:val="20"/>
        </w:rPr>
      </w:pPr>
    </w:p>
    <w:p w:rsidR="00977482" w:rsidRPr="009E7B82" w:rsidRDefault="00977482" w:rsidP="00977482">
      <w:pPr>
        <w:pStyle w:val="Textoindependiente"/>
        <w:numPr>
          <w:ilvl w:val="0"/>
          <w:numId w:val="1"/>
        </w:numPr>
        <w:spacing w:after="0"/>
        <w:rPr>
          <w:b/>
          <w:color w:val="006666"/>
          <w:sz w:val="20"/>
          <w:szCs w:val="20"/>
        </w:rPr>
      </w:pPr>
      <w:r>
        <w:rPr>
          <w:b/>
          <w:color w:val="006666"/>
          <w:sz w:val="20"/>
          <w:szCs w:val="20"/>
        </w:rPr>
        <w:t xml:space="preserve">Decreto </w:t>
      </w:r>
      <w:hyperlink r:id="rId19" w:history="1">
        <w:r w:rsidRPr="00977482">
          <w:rPr>
            <w:b/>
            <w:color w:val="006666"/>
            <w:sz w:val="20"/>
            <w:szCs w:val="20"/>
          </w:rPr>
          <w:t>MDT-2018-0085</w:t>
        </w:r>
      </w:hyperlink>
      <w:r w:rsidRPr="00977482">
        <w:rPr>
          <w:b/>
          <w:color w:val="006666"/>
          <w:sz w:val="20"/>
          <w:szCs w:val="20"/>
        </w:rPr>
        <w:t xml:space="preserve">: </w:t>
      </w:r>
      <w:r w:rsidRPr="00977482">
        <w:rPr>
          <w:sz w:val="20"/>
          <w:szCs w:val="20"/>
        </w:rPr>
        <w:t>Refórmese el Acuerdo Ministerial No. MDT-2017-0166, publicado en el Registro Oficial No. 120, de 15 de noviembre de 2017, con el que se expidió la escala de remuneraciones mensuales unificadas de las y los servidores públicos y estructura orgánica de las entidades del sector financiero público y del Banco Central del Ecuador</w:t>
      </w:r>
    </w:p>
    <w:p w:rsidR="009E7B82" w:rsidRDefault="009E7B82" w:rsidP="009E7B82">
      <w:pPr>
        <w:pStyle w:val="Prrafodelista"/>
        <w:rPr>
          <w:b/>
          <w:color w:val="006666"/>
          <w:sz w:val="20"/>
          <w:szCs w:val="20"/>
        </w:rPr>
      </w:pPr>
    </w:p>
    <w:p w:rsidR="00977482" w:rsidRPr="00977482" w:rsidRDefault="00977482" w:rsidP="00977482">
      <w:pPr>
        <w:pStyle w:val="Textoindependiente"/>
        <w:numPr>
          <w:ilvl w:val="0"/>
          <w:numId w:val="1"/>
        </w:numPr>
        <w:spacing w:after="0"/>
        <w:rPr>
          <w:b/>
          <w:color w:val="006666"/>
          <w:sz w:val="20"/>
          <w:szCs w:val="20"/>
        </w:rPr>
      </w:pPr>
      <w:r>
        <w:rPr>
          <w:b/>
          <w:color w:val="006666"/>
          <w:sz w:val="20"/>
          <w:szCs w:val="20"/>
        </w:rPr>
        <w:t xml:space="preserve">Decreto </w:t>
      </w:r>
      <w:hyperlink r:id="rId20" w:history="1">
        <w:r w:rsidRPr="00977482">
          <w:rPr>
            <w:b/>
            <w:color w:val="006666"/>
            <w:sz w:val="20"/>
            <w:szCs w:val="20"/>
          </w:rPr>
          <w:t>MDT-2018-0099</w:t>
        </w:r>
      </w:hyperlink>
      <w:r w:rsidRPr="00977482">
        <w:rPr>
          <w:b/>
          <w:color w:val="006666"/>
          <w:sz w:val="20"/>
          <w:szCs w:val="20"/>
        </w:rPr>
        <w:t xml:space="preserve">: </w:t>
      </w:r>
      <w:r w:rsidRPr="00977482">
        <w:rPr>
          <w:sz w:val="20"/>
          <w:szCs w:val="20"/>
        </w:rPr>
        <w:t>Refórmese el Acuerdo Ministerial No. MDT-2018-0039, mediante el cual se emitió los lineamientos para los contratos ocasionales y creaciones de puestos para el ejercicio fiscal 2018, en aplicación del artículo 58 de la LOSEP</w:t>
      </w:r>
    </w:p>
    <w:p w:rsidR="00437851" w:rsidRDefault="00437851">
      <w:pPr>
        <w:spacing w:after="160" w:line="259" w:lineRule="auto"/>
        <w:rPr>
          <w:rFonts w:ascii="Tahoma" w:hAnsi="Tahoma" w:cs="Tahoma"/>
          <w:b/>
          <w:sz w:val="12"/>
          <w:szCs w:val="12"/>
        </w:rPr>
      </w:pPr>
    </w:p>
    <w:p w:rsidR="001716BD" w:rsidRDefault="001716BD">
      <w:pPr>
        <w:spacing w:after="160" w:line="259" w:lineRule="auto"/>
        <w:rPr>
          <w:rFonts w:ascii="Tahoma" w:hAnsi="Tahoma" w:cs="Tahoma"/>
          <w:b/>
          <w:sz w:val="12"/>
          <w:szCs w:val="12"/>
        </w:rPr>
      </w:pPr>
    </w:p>
    <w:p w:rsidR="00437851" w:rsidRPr="0040494A" w:rsidRDefault="0040494A" w:rsidP="0040494A">
      <w:pPr>
        <w:pStyle w:val="Textoindependiente"/>
        <w:spacing w:after="0"/>
        <w:rPr>
          <w:b/>
          <w:bCs/>
          <w:sz w:val="32"/>
        </w:rPr>
      </w:pPr>
      <w:r w:rsidRPr="00A656F3">
        <w:rPr>
          <w:b/>
          <w:bCs/>
          <w:sz w:val="32"/>
        </w:rPr>
        <w:t xml:space="preserve">Registro Oficial </w:t>
      </w:r>
      <w:r w:rsidRPr="0040494A">
        <w:rPr>
          <w:b/>
          <w:bCs/>
          <w:sz w:val="32"/>
        </w:rPr>
        <w:t>No. 255,</w:t>
      </w:r>
      <w:r>
        <w:rPr>
          <w:b/>
          <w:bCs/>
          <w:sz w:val="32"/>
        </w:rPr>
        <w:t xml:space="preserve"> 05 de j</w:t>
      </w:r>
      <w:r w:rsidRPr="0040494A">
        <w:rPr>
          <w:b/>
          <w:bCs/>
          <w:sz w:val="32"/>
        </w:rPr>
        <w:t>unio de 2018</w:t>
      </w:r>
    </w:p>
    <w:p w:rsidR="00437851" w:rsidRDefault="00437851">
      <w:pPr>
        <w:spacing w:after="160" w:line="259" w:lineRule="auto"/>
        <w:rPr>
          <w:rFonts w:ascii="Tahoma" w:hAnsi="Tahoma" w:cs="Tahoma"/>
          <w:b/>
          <w:sz w:val="12"/>
          <w:szCs w:val="12"/>
        </w:rPr>
      </w:pPr>
    </w:p>
    <w:p w:rsidR="00437851" w:rsidRPr="0040494A" w:rsidRDefault="0040494A" w:rsidP="0040494A">
      <w:pPr>
        <w:pStyle w:val="Textoindependiente"/>
        <w:numPr>
          <w:ilvl w:val="0"/>
          <w:numId w:val="1"/>
        </w:numPr>
        <w:spacing w:after="0"/>
        <w:rPr>
          <w:b/>
          <w:color w:val="006666"/>
          <w:sz w:val="20"/>
          <w:szCs w:val="20"/>
          <w:highlight w:val="cyan"/>
        </w:rPr>
      </w:pPr>
      <w:r>
        <w:rPr>
          <w:b/>
          <w:color w:val="006666"/>
          <w:sz w:val="20"/>
          <w:szCs w:val="20"/>
        </w:rPr>
        <w:t xml:space="preserve">Acuerdo </w:t>
      </w:r>
      <w:hyperlink r:id="rId21" w:history="1">
        <w:r w:rsidRPr="0040494A">
          <w:rPr>
            <w:b/>
            <w:color w:val="006666"/>
            <w:sz w:val="20"/>
            <w:szCs w:val="20"/>
          </w:rPr>
          <w:t>MDT-2018-0106</w:t>
        </w:r>
      </w:hyperlink>
      <w:r w:rsidRPr="0040494A">
        <w:rPr>
          <w:b/>
          <w:color w:val="006666"/>
          <w:sz w:val="20"/>
          <w:szCs w:val="20"/>
        </w:rPr>
        <w:t xml:space="preserve">: </w:t>
      </w:r>
      <w:proofErr w:type="spellStart"/>
      <w:r w:rsidRPr="0040494A">
        <w:rPr>
          <w:sz w:val="20"/>
          <w:szCs w:val="20"/>
        </w:rPr>
        <w:t>Expídese</w:t>
      </w:r>
      <w:proofErr w:type="spellEnd"/>
      <w:r w:rsidRPr="0040494A">
        <w:rPr>
          <w:sz w:val="20"/>
          <w:szCs w:val="20"/>
        </w:rPr>
        <w:t xml:space="preserve"> el </w:t>
      </w:r>
      <w:r w:rsidRPr="0040494A">
        <w:rPr>
          <w:sz w:val="20"/>
          <w:szCs w:val="20"/>
          <w:highlight w:val="cyan"/>
        </w:rPr>
        <w:t xml:space="preserve">instructivo en caso de utilidades no cobradas por el trabajador o </w:t>
      </w:r>
      <w:proofErr w:type="spellStart"/>
      <w:r w:rsidRPr="0040494A">
        <w:rPr>
          <w:sz w:val="20"/>
          <w:szCs w:val="20"/>
          <w:highlight w:val="cyan"/>
        </w:rPr>
        <w:t>extrabajador</w:t>
      </w:r>
      <w:proofErr w:type="spellEnd"/>
    </w:p>
    <w:p w:rsidR="00437851" w:rsidRDefault="0040494A" w:rsidP="0040494A">
      <w:pPr>
        <w:pStyle w:val="Textoindependiente"/>
        <w:spacing w:after="0"/>
        <w:ind w:left="720"/>
        <w:rPr>
          <w:b/>
          <w:color w:val="006666"/>
          <w:sz w:val="20"/>
          <w:szCs w:val="20"/>
        </w:rPr>
      </w:pPr>
      <w:r w:rsidRPr="0040494A">
        <w:rPr>
          <w:rFonts w:ascii="Tahoma" w:hAnsi="Tahoma" w:cs="Tahoma"/>
          <w:noProof/>
          <w:sz w:val="20"/>
          <w:lang w:val="es-EC" w:eastAsia="es-EC"/>
        </w:rPr>
        <w:drawing>
          <wp:anchor distT="0" distB="0" distL="114300" distR="114300" simplePos="0" relativeHeight="251666432" behindDoc="0" locked="0" layoutInCell="1" allowOverlap="1">
            <wp:simplePos x="0" y="0"/>
            <wp:positionH relativeFrom="margin">
              <wp:align>left</wp:align>
            </wp:positionH>
            <wp:positionV relativeFrom="paragraph">
              <wp:posOffset>153670</wp:posOffset>
            </wp:positionV>
            <wp:extent cx="3096382" cy="1741714"/>
            <wp:effectExtent l="0" t="0" r="0" b="0"/>
            <wp:wrapNone/>
            <wp:docPr id="7" name="Imagen 7" descr="Resultado de imagen para utilidades no cobr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utilidades no cobradas"/>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06045" cy="1747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0494A" w:rsidRDefault="0040494A" w:rsidP="0040494A">
      <w:pPr>
        <w:pStyle w:val="Textoindependiente"/>
        <w:spacing w:after="0"/>
        <w:ind w:left="720"/>
        <w:rPr>
          <w:b/>
          <w:color w:val="006666"/>
          <w:sz w:val="20"/>
          <w:szCs w:val="20"/>
        </w:rPr>
        <w:sectPr w:rsidR="0040494A" w:rsidSect="00A05240">
          <w:type w:val="continuous"/>
          <w:pgSz w:w="11906" w:h="16838"/>
          <w:pgMar w:top="720" w:right="720" w:bottom="720" w:left="720" w:header="708" w:footer="105" w:gutter="0"/>
          <w:cols w:space="708"/>
          <w:docGrid w:linePitch="360"/>
        </w:sectPr>
      </w:pPr>
    </w:p>
    <w:p w:rsidR="0040494A" w:rsidRPr="0040494A" w:rsidRDefault="0040494A" w:rsidP="0040494A">
      <w:pPr>
        <w:pStyle w:val="Textoindependiente"/>
        <w:spacing w:after="0"/>
        <w:ind w:left="720"/>
        <w:rPr>
          <w:rFonts w:ascii="Tahoma" w:hAnsi="Tahoma" w:cs="Tahoma"/>
          <w:b/>
          <w:sz w:val="16"/>
          <w:szCs w:val="20"/>
        </w:rPr>
      </w:pPr>
    </w:p>
    <w:p w:rsidR="0040494A" w:rsidRDefault="0040494A" w:rsidP="0040494A">
      <w:pPr>
        <w:rPr>
          <w:rFonts w:ascii="Tahoma" w:hAnsi="Tahoma" w:cs="Tahoma"/>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p>
    <w:p w:rsidR="0040494A" w:rsidRDefault="0040494A" w:rsidP="0040494A">
      <w:pPr>
        <w:jc w:val="center"/>
        <w:rPr>
          <w:rFonts w:ascii="Tahoma" w:hAnsi="Tahoma" w:cs="Tahoma"/>
          <w:b/>
          <w:sz w:val="16"/>
          <w:szCs w:val="20"/>
          <w:shd w:val="clear" w:color="auto" w:fill="FFFFFF"/>
          <w:lang w:val="es-EC" w:eastAsia="es-EC"/>
        </w:rPr>
      </w:pPr>
      <w:r w:rsidRPr="0040494A">
        <w:rPr>
          <w:rFonts w:ascii="Tahoma" w:hAnsi="Tahoma" w:cs="Tahoma"/>
          <w:b/>
          <w:sz w:val="16"/>
          <w:szCs w:val="20"/>
          <w:shd w:val="clear" w:color="auto" w:fill="FFFFFF"/>
          <w:lang w:val="es-EC" w:eastAsia="es-EC"/>
        </w:rPr>
        <w:t>Acuerda:</w:t>
      </w:r>
      <w:r w:rsidRPr="0040494A">
        <w:rPr>
          <w:rFonts w:ascii="Tahoma" w:hAnsi="Tahoma" w:cs="Tahoma"/>
          <w:b/>
          <w:sz w:val="16"/>
          <w:szCs w:val="20"/>
          <w:shd w:val="clear" w:color="auto" w:fill="FFFFFF"/>
          <w:lang w:val="es-EC" w:eastAsia="es-EC"/>
        </w:rPr>
        <w:br/>
        <w:t>EXPEDIR EL INSTRUCTIVO EN CASO DE UTILIDADES NO COBRADAS POR EL TRABAJADOR O EX TRABAJADOR</w:t>
      </w:r>
      <w:r w:rsidRPr="0040494A">
        <w:rPr>
          <w:rFonts w:ascii="Tahoma" w:hAnsi="Tahoma" w:cs="Tahoma"/>
          <w:b/>
          <w:sz w:val="16"/>
          <w:szCs w:val="20"/>
          <w:shd w:val="clear" w:color="auto" w:fill="FFFFFF"/>
          <w:lang w:val="es-EC" w:eastAsia="es-EC"/>
        </w:rPr>
        <w:br/>
      </w:r>
      <w:r w:rsidRPr="0040494A">
        <w:rPr>
          <w:rFonts w:ascii="Tahoma" w:hAnsi="Tahoma" w:cs="Tahoma"/>
          <w:b/>
          <w:sz w:val="16"/>
          <w:szCs w:val="20"/>
          <w:shd w:val="clear" w:color="auto" w:fill="FFFFFF"/>
          <w:lang w:val="es-EC" w:eastAsia="es-EC"/>
        </w:rPr>
        <w:br/>
        <w:t>CAPÍTULO I </w:t>
      </w:r>
      <w:r w:rsidRPr="0040494A">
        <w:rPr>
          <w:rFonts w:ascii="Tahoma" w:hAnsi="Tahoma" w:cs="Tahoma"/>
          <w:b/>
          <w:sz w:val="16"/>
          <w:szCs w:val="20"/>
          <w:shd w:val="clear" w:color="auto" w:fill="FFFFFF"/>
          <w:lang w:val="es-EC" w:eastAsia="es-EC"/>
        </w:rPr>
        <w:br/>
        <w:t>GENERALIDADES</w:t>
      </w:r>
    </w:p>
    <w:p w:rsidR="0040494A" w:rsidRPr="0040494A" w:rsidRDefault="0040494A" w:rsidP="0040494A">
      <w:pPr>
        <w:rPr>
          <w:rFonts w:ascii="Tahoma" w:hAnsi="Tahoma" w:cs="Tahoma"/>
          <w:sz w:val="20"/>
          <w:lang w:val="es-EC" w:eastAsia="es-EC"/>
        </w:rPr>
      </w:pPr>
      <w:r w:rsidRPr="0040494A">
        <w:rPr>
          <w:rFonts w:ascii="Tahoma" w:hAnsi="Tahoma" w:cs="Tahoma"/>
          <w:sz w:val="16"/>
          <w:szCs w:val="20"/>
          <w:shd w:val="clear" w:color="auto" w:fill="FFFFFF"/>
          <w:lang w:val="es-EC" w:eastAsia="es-EC"/>
        </w:rPr>
        <w:br/>
      </w:r>
      <w:r w:rsidRPr="0040494A">
        <w:rPr>
          <w:rFonts w:ascii="Tahoma" w:hAnsi="Tahoma" w:cs="Tahoma"/>
          <w:b/>
          <w:sz w:val="16"/>
          <w:szCs w:val="20"/>
          <w:shd w:val="clear" w:color="auto" w:fill="FFFFFF"/>
          <w:lang w:val="es-EC" w:eastAsia="es-EC"/>
        </w:rPr>
        <w:t>Art. 1.- Objeto.-</w:t>
      </w:r>
      <w:r w:rsidRPr="0040494A">
        <w:rPr>
          <w:rFonts w:ascii="Tahoma" w:hAnsi="Tahoma" w:cs="Tahoma"/>
          <w:sz w:val="16"/>
          <w:szCs w:val="20"/>
          <w:shd w:val="clear" w:color="auto" w:fill="FFFFFF"/>
          <w:lang w:val="es-EC" w:eastAsia="es-EC"/>
        </w:rPr>
        <w:t> El presente Acuerdo Ministerial emite el instructivo que regula el cobro y recaudación de valores generados por el no cobro de las utilidades a las que tienen derecho los trabajadores y ex trabajadores.</w:t>
      </w:r>
      <w:r w:rsidRPr="0040494A">
        <w:rPr>
          <w:rFonts w:ascii="Tahoma" w:hAnsi="Tahoma" w:cs="Tahoma"/>
          <w:sz w:val="16"/>
          <w:szCs w:val="20"/>
          <w:shd w:val="clear" w:color="auto" w:fill="FFFFFF"/>
          <w:lang w:val="es-EC" w:eastAsia="es-EC"/>
        </w:rPr>
        <w:br/>
      </w:r>
      <w:r w:rsidRPr="0040494A">
        <w:rPr>
          <w:rFonts w:ascii="Tahoma" w:hAnsi="Tahoma" w:cs="Tahoma"/>
          <w:sz w:val="16"/>
          <w:szCs w:val="20"/>
          <w:shd w:val="clear" w:color="auto" w:fill="FFFFFF"/>
          <w:lang w:val="es-EC" w:eastAsia="es-EC"/>
        </w:rPr>
        <w:br/>
      </w:r>
      <w:r w:rsidRPr="0040494A">
        <w:rPr>
          <w:rFonts w:ascii="Tahoma" w:hAnsi="Tahoma" w:cs="Tahoma"/>
          <w:b/>
          <w:sz w:val="16"/>
          <w:szCs w:val="20"/>
          <w:shd w:val="clear" w:color="auto" w:fill="FFFFFF"/>
          <w:lang w:val="es-EC" w:eastAsia="es-EC"/>
        </w:rPr>
        <w:t>Art. 2.- Ámbito.-</w:t>
      </w:r>
      <w:r w:rsidRPr="0040494A">
        <w:rPr>
          <w:rFonts w:ascii="Tahoma" w:hAnsi="Tahoma" w:cs="Tahoma"/>
          <w:sz w:val="16"/>
          <w:szCs w:val="20"/>
          <w:shd w:val="clear" w:color="auto" w:fill="FFFFFF"/>
          <w:lang w:val="es-EC" w:eastAsia="es-EC"/>
        </w:rPr>
        <w:t> El presente Instructivo es de aplicación obligatoria para todos los empleadores del sector privado, respecto de las utilidades no cobradas por los trabajadores y ex trabajadores, conforme lo prescrito en el artículo 106 del Código del Trabajo.</w:t>
      </w:r>
      <w:r w:rsidRPr="0040494A">
        <w:rPr>
          <w:rFonts w:ascii="Tahoma" w:hAnsi="Tahoma" w:cs="Tahoma"/>
          <w:sz w:val="16"/>
          <w:szCs w:val="20"/>
          <w:shd w:val="clear" w:color="auto" w:fill="FFFFFF"/>
          <w:lang w:val="es-EC" w:eastAsia="es-EC"/>
        </w:rPr>
        <w:br/>
      </w:r>
    </w:p>
    <w:p w:rsidR="00B5451A" w:rsidRDefault="0040494A" w:rsidP="00B5451A">
      <w:pPr>
        <w:shd w:val="clear" w:color="auto" w:fill="FFFFFF"/>
        <w:jc w:val="center"/>
        <w:rPr>
          <w:rFonts w:ascii="Tahoma" w:hAnsi="Tahoma" w:cs="Tahoma"/>
          <w:b/>
          <w:sz w:val="16"/>
          <w:szCs w:val="20"/>
          <w:lang w:val="es-EC" w:eastAsia="es-EC"/>
        </w:rPr>
      </w:pPr>
      <w:r w:rsidRPr="0040494A">
        <w:rPr>
          <w:rFonts w:ascii="Tahoma" w:hAnsi="Tahoma" w:cs="Tahoma"/>
          <w:b/>
          <w:sz w:val="16"/>
          <w:szCs w:val="20"/>
          <w:lang w:val="es-EC" w:eastAsia="es-EC"/>
        </w:rPr>
        <w:t>CAPÍTULO II </w:t>
      </w:r>
      <w:r w:rsidRPr="0040494A">
        <w:rPr>
          <w:rFonts w:ascii="Tahoma" w:hAnsi="Tahoma" w:cs="Tahoma"/>
          <w:b/>
          <w:sz w:val="16"/>
          <w:szCs w:val="20"/>
          <w:lang w:val="es-EC" w:eastAsia="es-EC"/>
        </w:rPr>
        <w:br/>
        <w:t>OBLIGACIONES DEL EMPLEADOR</w:t>
      </w:r>
    </w:p>
    <w:p w:rsidR="0040494A" w:rsidRPr="0040494A" w:rsidRDefault="0040494A" w:rsidP="0040494A">
      <w:pPr>
        <w:shd w:val="clear" w:color="auto" w:fill="FFFFFF"/>
        <w:rPr>
          <w:rFonts w:ascii="Tahoma" w:hAnsi="Tahoma" w:cs="Tahoma"/>
          <w:sz w:val="16"/>
          <w:szCs w:val="20"/>
          <w:lang w:val="es-EC" w:eastAsia="es-EC"/>
        </w:rPr>
      </w:pPr>
      <w:r w:rsidRPr="0040494A">
        <w:rPr>
          <w:rFonts w:ascii="Tahoma" w:hAnsi="Tahoma" w:cs="Tahoma"/>
          <w:b/>
          <w:sz w:val="16"/>
          <w:szCs w:val="20"/>
          <w:lang w:val="es-EC" w:eastAsia="es-EC"/>
        </w:rPr>
        <w:br/>
        <w:t>Art. 3.- Obligatoriedad del pago de las utilidades de forma directa.-</w:t>
      </w:r>
      <w:r w:rsidRPr="0040494A">
        <w:rPr>
          <w:rFonts w:ascii="Tahoma" w:hAnsi="Tahoma" w:cs="Tahoma"/>
          <w:sz w:val="16"/>
          <w:szCs w:val="20"/>
          <w:lang w:val="es-EC" w:eastAsia="es-EC"/>
        </w:rPr>
        <w:t> Los empleadores están obligados a agotar sus esfuerzos para entregar de forma directa el beneficio de utilidades a sus trabajadores o ex trabajadores, empleando todos los mecanismos legales previstos para el efecto.</w:t>
      </w:r>
      <w:r w:rsidRPr="0040494A">
        <w:rPr>
          <w:rFonts w:ascii="Tahoma" w:hAnsi="Tahoma" w:cs="Tahoma"/>
          <w:sz w:val="16"/>
          <w:szCs w:val="20"/>
          <w:lang w:val="es-EC" w:eastAsia="es-EC"/>
        </w:rPr>
        <w:br/>
      </w:r>
      <w:r w:rsidRPr="0040494A">
        <w:rPr>
          <w:rFonts w:ascii="Tahoma" w:hAnsi="Tahoma" w:cs="Tahoma"/>
          <w:sz w:val="16"/>
          <w:szCs w:val="20"/>
          <w:lang w:val="es-EC" w:eastAsia="es-EC"/>
        </w:rPr>
        <w:br/>
      </w:r>
      <w:r w:rsidRPr="0040494A">
        <w:rPr>
          <w:rFonts w:ascii="Tahoma" w:hAnsi="Tahoma" w:cs="Tahoma"/>
          <w:b/>
          <w:sz w:val="16"/>
          <w:szCs w:val="20"/>
          <w:lang w:val="es-EC" w:eastAsia="es-EC"/>
        </w:rPr>
        <w:t xml:space="preserve">Art. 4.- Apertura de Cuenta en institución del Sistema </w:t>
      </w:r>
      <w:r w:rsidRPr="0040494A">
        <w:rPr>
          <w:rFonts w:ascii="Tahoma" w:hAnsi="Tahoma" w:cs="Tahoma"/>
          <w:b/>
          <w:sz w:val="16"/>
          <w:szCs w:val="20"/>
          <w:lang w:val="es-EC" w:eastAsia="es-EC"/>
        </w:rPr>
        <w:lastRenderedPageBreak/>
        <w:t>Financiero Nacional.-</w:t>
      </w:r>
      <w:r w:rsidRPr="0040494A">
        <w:rPr>
          <w:rFonts w:ascii="Tahoma" w:hAnsi="Tahoma" w:cs="Tahoma"/>
          <w:sz w:val="16"/>
          <w:szCs w:val="20"/>
          <w:lang w:val="es-EC" w:eastAsia="es-EC"/>
        </w:rPr>
        <w:t> Agotados los esfuerzos referentes en el artículo que antecede, el empleador destinará y depositará en una cuenta del Sistema Financiero Nacional, las referidas utilidades no cobradas de manera directa a beneficio de los trabajadores y ex trabajadores, en un plazo máximo de treinta (30) días, contados desde la fecha en que debió efectuarse el pago de forma directa.</w:t>
      </w:r>
      <w:r w:rsidRPr="0040494A">
        <w:rPr>
          <w:rFonts w:ascii="Tahoma" w:hAnsi="Tahoma" w:cs="Tahoma"/>
          <w:sz w:val="16"/>
          <w:szCs w:val="20"/>
          <w:lang w:val="es-EC" w:eastAsia="es-EC"/>
        </w:rPr>
        <w:br/>
      </w:r>
      <w:r w:rsidRPr="0040494A">
        <w:rPr>
          <w:rFonts w:ascii="Tahoma" w:hAnsi="Tahoma" w:cs="Tahoma"/>
          <w:sz w:val="16"/>
          <w:szCs w:val="20"/>
          <w:lang w:val="es-EC" w:eastAsia="es-EC"/>
        </w:rPr>
        <w:br/>
        <w:t>La cuenta asignada por el Sistema Financiero Nacional en la cual se depositarán los valores correspondientes a utilidades no cobradas, será utilizada única y exclusivamente con la finalidad de garantizar el cobro de los valores de utilidades, que les corresponde a los trabajadores y ex trabajadores.</w:t>
      </w:r>
      <w:r w:rsidRPr="0040494A">
        <w:rPr>
          <w:rFonts w:ascii="Tahoma" w:hAnsi="Tahoma" w:cs="Tahoma"/>
          <w:sz w:val="16"/>
          <w:szCs w:val="20"/>
          <w:lang w:val="es-EC" w:eastAsia="es-EC"/>
        </w:rPr>
        <w:br/>
      </w:r>
      <w:r w:rsidRPr="0040494A">
        <w:rPr>
          <w:rFonts w:ascii="Tahoma" w:hAnsi="Tahoma" w:cs="Tahoma"/>
          <w:sz w:val="16"/>
          <w:szCs w:val="20"/>
          <w:lang w:val="es-EC" w:eastAsia="es-EC"/>
        </w:rPr>
        <w:br/>
      </w:r>
      <w:r w:rsidRPr="0040494A">
        <w:rPr>
          <w:rFonts w:ascii="Tahoma" w:hAnsi="Tahoma" w:cs="Tahoma"/>
          <w:b/>
          <w:sz w:val="16"/>
          <w:szCs w:val="20"/>
          <w:lang w:val="es-EC" w:eastAsia="es-EC"/>
        </w:rPr>
        <w:t>Art. 5.- Publicaciones en diarios de circulación nacional.-</w:t>
      </w:r>
      <w:r w:rsidRPr="0040494A">
        <w:rPr>
          <w:rFonts w:ascii="Tahoma" w:hAnsi="Tahoma" w:cs="Tahoma"/>
          <w:sz w:val="16"/>
          <w:szCs w:val="20"/>
          <w:lang w:val="es-EC" w:eastAsia="es-EC"/>
        </w:rPr>
        <w:t> El empleador realizará una (1) publicación anual, en un diario de mayor circulación nacional o local, de la nómina de las personas trabajadoras o ex trabajadoras que no hubieren cobrado sus utilidades de forma directa. Para el efecto, estas publicaciones iniciarán en un plazo máximo de cinco (5) días, contados a partir de la fecha del depósito de las utilidades no cobradas en una cuenta del Sistema Financiero Nacional.</w:t>
      </w:r>
      <w:r w:rsidRPr="0040494A">
        <w:rPr>
          <w:rFonts w:ascii="Tahoma" w:hAnsi="Tahoma" w:cs="Tahoma"/>
          <w:sz w:val="16"/>
          <w:szCs w:val="20"/>
          <w:lang w:val="es-EC" w:eastAsia="es-EC"/>
        </w:rPr>
        <w:br/>
      </w:r>
      <w:r w:rsidRPr="0040494A">
        <w:rPr>
          <w:rFonts w:ascii="Tahoma" w:hAnsi="Tahoma" w:cs="Tahoma"/>
          <w:sz w:val="16"/>
          <w:szCs w:val="20"/>
          <w:lang w:val="es-EC" w:eastAsia="es-EC"/>
        </w:rPr>
        <w:br/>
      </w:r>
      <w:r w:rsidRPr="0040494A">
        <w:rPr>
          <w:rFonts w:ascii="Tahoma" w:hAnsi="Tahoma" w:cs="Tahoma"/>
          <w:b/>
          <w:sz w:val="16"/>
          <w:szCs w:val="20"/>
          <w:lang w:val="es-EC" w:eastAsia="es-EC"/>
        </w:rPr>
        <w:t>Art. 6.- Del registro del comprobante del depósito.-</w:t>
      </w:r>
      <w:r w:rsidRPr="0040494A">
        <w:rPr>
          <w:rFonts w:ascii="Tahoma" w:hAnsi="Tahoma" w:cs="Tahoma"/>
          <w:sz w:val="16"/>
          <w:szCs w:val="20"/>
          <w:lang w:val="es-EC" w:eastAsia="es-EC"/>
        </w:rPr>
        <w:t> El empleador deberá cargar el comprobante del depósito realizado en una cuenta del Sistema Financiero Nacional en el módulo de consignaciones del sistema de Salarios en Línea del ministerio del Trabajo, en un plazo máximo de treinta (30) días posteriores a la fecha en la que se debió efectuar el pago de la participación de utilidades a las que tienen derecho los trabajadores y ex trabajadores, caso contrario serán sancionados conforme lo prescrito en los artículos 628 y 629 del Código del Trabajo.</w:t>
      </w:r>
      <w:r w:rsidRPr="0040494A">
        <w:rPr>
          <w:rFonts w:ascii="Tahoma" w:hAnsi="Tahoma" w:cs="Tahoma"/>
          <w:sz w:val="16"/>
          <w:szCs w:val="20"/>
          <w:lang w:val="es-EC" w:eastAsia="es-EC"/>
        </w:rPr>
        <w:br/>
      </w:r>
      <w:r w:rsidRPr="0040494A">
        <w:rPr>
          <w:rFonts w:ascii="Tahoma" w:hAnsi="Tahoma" w:cs="Tahoma"/>
          <w:sz w:val="16"/>
          <w:szCs w:val="20"/>
          <w:lang w:val="es-EC" w:eastAsia="es-EC"/>
        </w:rPr>
        <w:br/>
      </w:r>
      <w:r w:rsidRPr="0040494A">
        <w:rPr>
          <w:rFonts w:ascii="Tahoma" w:hAnsi="Tahoma" w:cs="Tahoma"/>
          <w:b/>
          <w:sz w:val="16"/>
          <w:szCs w:val="20"/>
          <w:lang w:val="es-EC" w:eastAsia="es-EC"/>
        </w:rPr>
        <w:t>Art. 7.- Deposito de los valores no cobrados al Instituto Ecuatoriano de Seguridad Social – IESS.-</w:t>
      </w:r>
      <w:r w:rsidRPr="0040494A">
        <w:rPr>
          <w:rFonts w:ascii="Tahoma" w:hAnsi="Tahoma" w:cs="Tahoma"/>
          <w:sz w:val="16"/>
          <w:szCs w:val="20"/>
          <w:lang w:val="es-EC" w:eastAsia="es-EC"/>
        </w:rPr>
        <w:t> Si transcurrido un año del depósito de las utilidades no cobradas en la cuenta del Sistema Financiero Nacional , el trabajador o ex trabajador no hubiere efectuado el cobro de forma directa, el empleador en el plazo de quince (15) días, depositará estos valores en la cuenta que el Instituto Ecuatoriano de Seguridad Social establezca para el efecto, de conformidad con lo dispuesto en el artículo 106 del Código del Trabajo.</w:t>
      </w:r>
      <w:r w:rsidRPr="0040494A">
        <w:rPr>
          <w:rFonts w:ascii="Tahoma" w:hAnsi="Tahoma" w:cs="Tahoma"/>
          <w:sz w:val="16"/>
          <w:szCs w:val="20"/>
          <w:lang w:val="es-EC" w:eastAsia="es-EC"/>
        </w:rPr>
        <w:br/>
      </w:r>
    </w:p>
    <w:p w:rsidR="00B5451A" w:rsidRDefault="00B5451A" w:rsidP="0040494A">
      <w:pPr>
        <w:shd w:val="clear" w:color="auto" w:fill="FFFFFF"/>
        <w:rPr>
          <w:rFonts w:ascii="Tahoma" w:hAnsi="Tahoma" w:cs="Tahoma"/>
          <w:b/>
          <w:sz w:val="16"/>
          <w:szCs w:val="20"/>
          <w:lang w:val="es-EC" w:eastAsia="es-EC"/>
        </w:rPr>
      </w:pPr>
    </w:p>
    <w:p w:rsidR="00B5451A" w:rsidRDefault="0040494A" w:rsidP="00B5451A">
      <w:pPr>
        <w:shd w:val="clear" w:color="auto" w:fill="FFFFFF"/>
        <w:jc w:val="center"/>
        <w:rPr>
          <w:rFonts w:ascii="Tahoma" w:hAnsi="Tahoma" w:cs="Tahoma"/>
          <w:b/>
          <w:sz w:val="16"/>
          <w:szCs w:val="20"/>
          <w:lang w:val="es-EC" w:eastAsia="es-EC"/>
        </w:rPr>
      </w:pPr>
      <w:r w:rsidRPr="0040494A">
        <w:rPr>
          <w:rFonts w:ascii="Tahoma" w:hAnsi="Tahoma" w:cs="Tahoma"/>
          <w:b/>
          <w:sz w:val="16"/>
          <w:szCs w:val="20"/>
          <w:lang w:val="es-EC" w:eastAsia="es-EC"/>
        </w:rPr>
        <w:t>CAPÍTULO III</w:t>
      </w:r>
      <w:r w:rsidRPr="0040494A">
        <w:rPr>
          <w:rFonts w:ascii="Tahoma" w:hAnsi="Tahoma" w:cs="Tahoma"/>
          <w:b/>
          <w:sz w:val="16"/>
          <w:szCs w:val="20"/>
          <w:lang w:val="es-EC" w:eastAsia="es-EC"/>
        </w:rPr>
        <w:br/>
        <w:t>PROCEDIMIENTO PARA PAGO DE UTILIDADES NO COBRADAS</w:t>
      </w:r>
    </w:p>
    <w:p w:rsidR="0040494A" w:rsidRPr="0040494A" w:rsidRDefault="0040494A" w:rsidP="0040494A">
      <w:pPr>
        <w:shd w:val="clear" w:color="auto" w:fill="FFFFFF"/>
        <w:rPr>
          <w:rFonts w:ascii="Tahoma" w:hAnsi="Tahoma" w:cs="Tahoma"/>
          <w:sz w:val="16"/>
          <w:szCs w:val="20"/>
          <w:lang w:val="es-EC" w:eastAsia="es-EC"/>
        </w:rPr>
      </w:pPr>
      <w:r w:rsidRPr="0040494A">
        <w:rPr>
          <w:rFonts w:ascii="Tahoma" w:hAnsi="Tahoma" w:cs="Tahoma"/>
          <w:b/>
          <w:sz w:val="16"/>
          <w:szCs w:val="20"/>
          <w:lang w:val="es-EC" w:eastAsia="es-EC"/>
        </w:rPr>
        <w:br/>
        <w:t>Art. 8.- Requisitos para el cobro de valores:</w:t>
      </w:r>
      <w:r w:rsidRPr="0040494A">
        <w:rPr>
          <w:rFonts w:ascii="Tahoma" w:hAnsi="Tahoma" w:cs="Tahoma"/>
          <w:b/>
          <w:sz w:val="16"/>
          <w:szCs w:val="20"/>
          <w:lang w:val="es-EC" w:eastAsia="es-EC"/>
        </w:rPr>
        <w:br/>
      </w:r>
      <w:r w:rsidRPr="0040494A">
        <w:rPr>
          <w:rFonts w:ascii="Tahoma" w:hAnsi="Tahoma" w:cs="Tahoma"/>
          <w:sz w:val="16"/>
          <w:szCs w:val="20"/>
          <w:lang w:val="es-EC" w:eastAsia="es-EC"/>
        </w:rPr>
        <w:br/>
        <w:t>8.1 Si fenecido el plazo de treinta (30) días posteriores a la fecha en la que se generó la obligación del pago de participación de utilidades por parte del empleador a favor de los trabajadores y ex trabajadores, estos no hubieren cobrado de forma directa, deberán solicitar al empleador el pago de las utilidades en el domicilio de la empresa, con la presentación de la solicitud escrita y cédula de ciudadanía.</w:t>
      </w:r>
      <w:r w:rsidRPr="0040494A">
        <w:rPr>
          <w:rFonts w:ascii="Tahoma" w:hAnsi="Tahoma" w:cs="Tahoma"/>
          <w:sz w:val="16"/>
          <w:szCs w:val="20"/>
          <w:lang w:val="es-EC" w:eastAsia="es-EC"/>
        </w:rPr>
        <w:br/>
      </w:r>
      <w:r w:rsidRPr="0040494A">
        <w:rPr>
          <w:rFonts w:ascii="Tahoma" w:hAnsi="Tahoma" w:cs="Tahoma"/>
          <w:sz w:val="16"/>
          <w:szCs w:val="20"/>
          <w:lang w:val="es-EC" w:eastAsia="es-EC"/>
        </w:rPr>
        <w:br/>
        <w:t>8.2 A partir de la fecha del depósito de las utilidades no cobradas por los trabajadores y ex trabajadores en una cuenta del Sistema Financiero Nacional y hasta antes de cumplirse un año a partir de la misma fecha, los trabajadores y ex trabajadores podrán solicitar al empleador en el domicilio de la empresa el pago correspondiente, con la presentación de la solicitud escrita y cédula de ciudadanía.</w:t>
      </w:r>
      <w:r w:rsidRPr="0040494A">
        <w:rPr>
          <w:rFonts w:ascii="Tahoma" w:hAnsi="Tahoma" w:cs="Tahoma"/>
          <w:sz w:val="16"/>
          <w:szCs w:val="20"/>
          <w:lang w:val="es-EC" w:eastAsia="es-EC"/>
        </w:rPr>
        <w:br/>
      </w:r>
      <w:r w:rsidRPr="0040494A">
        <w:rPr>
          <w:rFonts w:ascii="Tahoma" w:hAnsi="Tahoma" w:cs="Tahoma"/>
          <w:sz w:val="16"/>
          <w:szCs w:val="20"/>
          <w:lang w:val="es-EC" w:eastAsia="es-EC"/>
        </w:rPr>
        <w:br/>
        <w:t>8.3 Para los casos de los numerales 8.1 y 8.2, el empleador pagará las utilidades por medio de transferencia bancaria o cheque certificado a los trabajadores o ex trabajadores con el valor correspondiente a este beneficio, a través de la cuenta que hubiere destinado para este efecto en una entidad del Sistema Financiero Nacional.</w:t>
      </w:r>
      <w:r w:rsidRPr="0040494A">
        <w:rPr>
          <w:rFonts w:ascii="Tahoma" w:hAnsi="Tahoma" w:cs="Tahoma"/>
          <w:sz w:val="16"/>
          <w:szCs w:val="20"/>
          <w:lang w:val="es-EC" w:eastAsia="es-EC"/>
        </w:rPr>
        <w:br/>
      </w:r>
    </w:p>
    <w:p w:rsidR="00B5451A" w:rsidRDefault="0040494A" w:rsidP="00B5451A">
      <w:pPr>
        <w:shd w:val="clear" w:color="auto" w:fill="FFFFFF"/>
        <w:jc w:val="center"/>
        <w:rPr>
          <w:rFonts w:ascii="Tahoma" w:hAnsi="Tahoma" w:cs="Tahoma"/>
          <w:b/>
          <w:sz w:val="16"/>
          <w:szCs w:val="20"/>
          <w:lang w:val="es-EC" w:eastAsia="es-EC"/>
        </w:rPr>
      </w:pPr>
      <w:r w:rsidRPr="0040494A">
        <w:rPr>
          <w:rFonts w:ascii="Tahoma" w:hAnsi="Tahoma" w:cs="Tahoma"/>
          <w:b/>
          <w:sz w:val="16"/>
          <w:szCs w:val="20"/>
          <w:lang w:val="es-EC" w:eastAsia="es-EC"/>
        </w:rPr>
        <w:t>CAPÍTULO IV </w:t>
      </w:r>
      <w:r w:rsidRPr="0040494A">
        <w:rPr>
          <w:rFonts w:ascii="Tahoma" w:hAnsi="Tahoma" w:cs="Tahoma"/>
          <w:b/>
          <w:sz w:val="16"/>
          <w:szCs w:val="20"/>
          <w:lang w:val="es-EC" w:eastAsia="es-EC"/>
        </w:rPr>
        <w:br/>
        <w:t>CONTROL Y SANCIONES</w:t>
      </w:r>
    </w:p>
    <w:p w:rsidR="00B5451A" w:rsidRDefault="0040494A" w:rsidP="0040494A">
      <w:pPr>
        <w:shd w:val="clear" w:color="auto" w:fill="FFFFFF"/>
        <w:rPr>
          <w:rFonts w:ascii="Tahoma" w:hAnsi="Tahoma" w:cs="Tahoma"/>
          <w:sz w:val="16"/>
          <w:szCs w:val="20"/>
          <w:lang w:val="es-EC" w:eastAsia="es-EC"/>
        </w:rPr>
      </w:pPr>
      <w:r w:rsidRPr="0040494A">
        <w:rPr>
          <w:rFonts w:ascii="Tahoma" w:hAnsi="Tahoma" w:cs="Tahoma"/>
          <w:b/>
          <w:sz w:val="16"/>
          <w:szCs w:val="20"/>
          <w:lang w:val="es-EC" w:eastAsia="es-EC"/>
        </w:rPr>
        <w:br/>
        <w:t>Art. 9.- Control.-</w:t>
      </w:r>
      <w:r w:rsidRPr="0040494A">
        <w:rPr>
          <w:rFonts w:ascii="Tahoma" w:hAnsi="Tahoma" w:cs="Tahoma"/>
          <w:sz w:val="16"/>
          <w:szCs w:val="20"/>
          <w:lang w:val="es-EC" w:eastAsia="es-EC"/>
        </w:rPr>
        <w:t> El Ministerio del Trabajo efectuará el control del cumplimiento de lo dispuesto en el presente Acuerdo Ministerial a través de la Dirección de Control e Inspecciones.</w:t>
      </w:r>
      <w:r w:rsidRPr="0040494A">
        <w:rPr>
          <w:rFonts w:ascii="Tahoma" w:hAnsi="Tahoma" w:cs="Tahoma"/>
          <w:sz w:val="16"/>
          <w:szCs w:val="20"/>
          <w:lang w:val="es-EC" w:eastAsia="es-EC"/>
        </w:rPr>
        <w:br/>
      </w:r>
    </w:p>
    <w:p w:rsidR="00B5451A" w:rsidRDefault="0040494A" w:rsidP="0040494A">
      <w:pPr>
        <w:shd w:val="clear" w:color="auto" w:fill="FFFFFF"/>
        <w:rPr>
          <w:rFonts w:ascii="Tahoma" w:hAnsi="Tahoma" w:cs="Tahoma"/>
          <w:sz w:val="16"/>
          <w:szCs w:val="20"/>
          <w:lang w:val="es-EC" w:eastAsia="es-EC"/>
        </w:rPr>
      </w:pPr>
      <w:r w:rsidRPr="0040494A">
        <w:rPr>
          <w:rFonts w:ascii="Tahoma" w:hAnsi="Tahoma" w:cs="Tahoma"/>
          <w:b/>
          <w:sz w:val="16"/>
          <w:szCs w:val="20"/>
          <w:lang w:val="es-EC" w:eastAsia="es-EC"/>
        </w:rPr>
        <w:t>Art. 10.- Sanciones.-</w:t>
      </w:r>
      <w:r w:rsidRPr="0040494A">
        <w:rPr>
          <w:rFonts w:ascii="Tahoma" w:hAnsi="Tahoma" w:cs="Tahoma"/>
          <w:sz w:val="16"/>
          <w:szCs w:val="20"/>
          <w:lang w:val="es-EC" w:eastAsia="es-EC"/>
        </w:rPr>
        <w:t> Sí fenecido el plazo de quince (15) días, posteriores al cumplimiento de un año, desde la fecha del depósito en una cuenta del Sistema Financiero Nacional del valor de participación de utilidades no cobradas, el empleador que, no hubiere efectuado la transferencia de estos valores a la cuenta que el Instituto Ecuatoriano de Seguridad Social establezca para el efecto, el Ministerio del Trabajo a través de sus Direcciones Regionales de Trabajo y Servicio Público, sancionará al empleador con el duplo de la cantidad no depositada de forma oportuna.</w:t>
      </w:r>
    </w:p>
    <w:p w:rsidR="00B5451A" w:rsidRDefault="00B5451A" w:rsidP="0040494A">
      <w:pPr>
        <w:shd w:val="clear" w:color="auto" w:fill="FFFFFF"/>
        <w:rPr>
          <w:rFonts w:ascii="Tahoma" w:hAnsi="Tahoma" w:cs="Tahoma"/>
          <w:sz w:val="16"/>
          <w:szCs w:val="20"/>
          <w:lang w:val="es-EC" w:eastAsia="es-EC"/>
        </w:rPr>
      </w:pPr>
    </w:p>
    <w:p w:rsidR="00B5451A" w:rsidRDefault="00B5451A" w:rsidP="0040494A">
      <w:pPr>
        <w:shd w:val="clear" w:color="auto" w:fill="FFFFFF"/>
        <w:rPr>
          <w:rFonts w:ascii="Tahoma" w:hAnsi="Tahoma" w:cs="Tahoma"/>
          <w:sz w:val="16"/>
          <w:szCs w:val="20"/>
          <w:lang w:val="es-EC" w:eastAsia="es-EC"/>
        </w:rPr>
      </w:pPr>
      <w:r>
        <w:rPr>
          <w:rFonts w:ascii="Tahoma" w:hAnsi="Tahoma" w:cs="Tahoma"/>
          <w:noProof/>
          <w:sz w:val="16"/>
          <w:szCs w:val="20"/>
          <w:lang w:val="es-EC" w:eastAsia="es-EC"/>
        </w:rPr>
        <mc:AlternateContent>
          <mc:Choice Requires="wps">
            <w:drawing>
              <wp:anchor distT="0" distB="0" distL="114300" distR="114300" simplePos="0" relativeHeight="251666943" behindDoc="0" locked="0" layoutInCell="1" allowOverlap="1">
                <wp:simplePos x="0" y="0"/>
                <wp:positionH relativeFrom="page">
                  <wp:posOffset>9832</wp:posOffset>
                </wp:positionH>
                <wp:positionV relativeFrom="paragraph">
                  <wp:posOffset>164608</wp:posOffset>
                </wp:positionV>
                <wp:extent cx="7521575" cy="4404237"/>
                <wp:effectExtent l="0" t="0" r="3175" b="0"/>
                <wp:wrapNone/>
                <wp:docPr id="9" name="Rectángulo 9"/>
                <wp:cNvGraphicFramePr/>
                <a:graphic xmlns:a="http://schemas.openxmlformats.org/drawingml/2006/main">
                  <a:graphicData uri="http://schemas.microsoft.com/office/word/2010/wordprocessingShape">
                    <wps:wsp>
                      <wps:cNvSpPr/>
                      <wps:spPr>
                        <a:xfrm>
                          <a:off x="0" y="0"/>
                          <a:ext cx="7521575" cy="4404237"/>
                        </a:xfrm>
                        <a:prstGeom prst="rect">
                          <a:avLst/>
                        </a:prstGeom>
                        <a:solidFill>
                          <a:srgbClr val="00999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3F90FA" id="Rectángulo 9" o:spid="_x0000_s1026" style="position:absolute;margin-left:.75pt;margin-top:12.95pt;width:592.25pt;height:346.8pt;z-index:2516669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" fillcolor="#099" stroked="f" strokeweight="1pt">
                <w10:wrap anchorx="page"/>
              </v:rect>
            </w:pict>
          </mc:Fallback>
        </mc:AlternateContent>
      </w:r>
    </w:p>
    <w:p w:rsidR="00B5451A" w:rsidRDefault="00B5451A" w:rsidP="0040494A">
      <w:pPr>
        <w:shd w:val="clear" w:color="auto" w:fill="FFFFFF"/>
        <w:rPr>
          <w:rFonts w:ascii="Tahoma" w:hAnsi="Tahoma" w:cs="Tahoma"/>
          <w:sz w:val="16"/>
          <w:szCs w:val="20"/>
          <w:lang w:val="es-EC" w:eastAsia="es-EC"/>
        </w:rPr>
      </w:pPr>
    </w:p>
    <w:p w:rsidR="00B5451A" w:rsidRDefault="00B5451A" w:rsidP="0040494A">
      <w:pPr>
        <w:shd w:val="clear" w:color="auto" w:fill="FFFFFF"/>
        <w:rPr>
          <w:rFonts w:ascii="Tahoma" w:hAnsi="Tahoma" w:cs="Tahoma"/>
          <w:sz w:val="16"/>
          <w:szCs w:val="20"/>
          <w:lang w:val="es-EC" w:eastAsia="es-EC"/>
        </w:rPr>
      </w:pPr>
    </w:p>
    <w:p w:rsidR="00B5451A" w:rsidRDefault="00B5451A" w:rsidP="0040494A">
      <w:pPr>
        <w:shd w:val="clear" w:color="auto" w:fill="FFFFFF"/>
        <w:rPr>
          <w:rFonts w:ascii="Tahoma" w:hAnsi="Tahoma" w:cs="Tahoma"/>
          <w:sz w:val="16"/>
          <w:szCs w:val="20"/>
          <w:lang w:val="es-EC" w:eastAsia="es-EC"/>
        </w:rPr>
      </w:pPr>
      <w:r w:rsidRPr="00B5451A">
        <w:rPr>
          <w:rFonts w:ascii="Tahoma" w:hAnsi="Tahoma" w:cs="Tahoma"/>
          <w:noProof/>
          <w:sz w:val="16"/>
          <w:szCs w:val="20"/>
          <w:lang w:val="es-EC" w:eastAsia="es-EC"/>
        </w:rPr>
        <w:drawing>
          <wp:anchor distT="0" distB="0" distL="114300" distR="114300" simplePos="0" relativeHeight="251667456" behindDoc="1" locked="0" layoutInCell="1" allowOverlap="1">
            <wp:simplePos x="0" y="0"/>
            <wp:positionH relativeFrom="page">
              <wp:align>left</wp:align>
            </wp:positionH>
            <wp:positionV relativeFrom="paragraph">
              <wp:posOffset>302874</wp:posOffset>
            </wp:positionV>
            <wp:extent cx="7578725" cy="3333115"/>
            <wp:effectExtent l="0" t="0" r="3175" b="635"/>
            <wp:wrapTight wrapText="bothSides">
              <wp:wrapPolygon edited="0">
                <wp:start x="0" y="0"/>
                <wp:lineTo x="0" y="21481"/>
                <wp:lineTo x="21555" y="21481"/>
                <wp:lineTo x="21555" y="0"/>
                <wp:lineTo x="0" y="0"/>
              </wp:wrapPolygon>
            </wp:wrapTight>
            <wp:docPr id="8" name="Imagen 8" descr="C:\Users\LILIANA\Documents\FORMATOS SCT\REDES 2018\ANUNCIO ABRIL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ILIANA\Documents\FORMATOS SCT\REDES 2018\ANUNCIO ABRIL 6.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578725" cy="33331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451A" w:rsidRDefault="0040494A" w:rsidP="0040494A">
      <w:pPr>
        <w:shd w:val="clear" w:color="auto" w:fill="FFFFFF"/>
        <w:rPr>
          <w:rFonts w:ascii="Tahoma" w:hAnsi="Tahoma" w:cs="Tahoma"/>
          <w:sz w:val="16"/>
          <w:szCs w:val="20"/>
          <w:lang w:val="es-EC" w:eastAsia="es-EC"/>
        </w:rPr>
      </w:pPr>
      <w:r w:rsidRPr="0040494A">
        <w:rPr>
          <w:rFonts w:ascii="Tahoma" w:hAnsi="Tahoma" w:cs="Tahoma"/>
          <w:sz w:val="16"/>
          <w:szCs w:val="20"/>
          <w:lang w:val="es-EC" w:eastAsia="es-EC"/>
        </w:rPr>
        <w:lastRenderedPageBreak/>
        <w:br/>
      </w:r>
      <w:r w:rsidRPr="0040494A">
        <w:rPr>
          <w:rFonts w:ascii="Tahoma" w:hAnsi="Tahoma" w:cs="Tahoma"/>
          <w:sz w:val="16"/>
          <w:szCs w:val="20"/>
          <w:lang w:val="es-EC" w:eastAsia="es-EC"/>
        </w:rPr>
        <w:br/>
      </w:r>
    </w:p>
    <w:p w:rsidR="00B5451A" w:rsidRDefault="00B5451A" w:rsidP="0040494A">
      <w:pPr>
        <w:shd w:val="clear" w:color="auto" w:fill="FFFFFF"/>
        <w:rPr>
          <w:rFonts w:ascii="Tahoma" w:hAnsi="Tahoma" w:cs="Tahoma"/>
          <w:sz w:val="16"/>
          <w:szCs w:val="20"/>
          <w:lang w:val="es-EC" w:eastAsia="es-EC"/>
        </w:rPr>
      </w:pPr>
    </w:p>
    <w:p w:rsidR="0040494A" w:rsidRPr="0040494A" w:rsidRDefault="0040494A" w:rsidP="0040494A">
      <w:pPr>
        <w:shd w:val="clear" w:color="auto" w:fill="FFFFFF"/>
        <w:rPr>
          <w:rFonts w:ascii="Tahoma" w:hAnsi="Tahoma" w:cs="Tahoma"/>
          <w:sz w:val="16"/>
          <w:szCs w:val="20"/>
          <w:lang w:val="es-EC" w:eastAsia="es-EC"/>
        </w:rPr>
      </w:pPr>
      <w:r w:rsidRPr="0040494A">
        <w:rPr>
          <w:rFonts w:ascii="Tahoma" w:hAnsi="Tahoma" w:cs="Tahoma"/>
          <w:sz w:val="16"/>
          <w:szCs w:val="20"/>
          <w:lang w:val="es-EC" w:eastAsia="es-EC"/>
        </w:rPr>
        <w:t>Si el empleador no pagare la multa impuesta por el Ministerio del Trabajo, ésta entidad ejercerá su facultad coactiva para el cobro de la multa.</w:t>
      </w:r>
      <w:r w:rsidRPr="0040494A">
        <w:rPr>
          <w:rFonts w:ascii="Tahoma" w:hAnsi="Tahoma" w:cs="Tahoma"/>
          <w:sz w:val="16"/>
          <w:szCs w:val="20"/>
          <w:lang w:val="es-EC" w:eastAsia="es-EC"/>
        </w:rPr>
        <w:br/>
      </w:r>
    </w:p>
    <w:p w:rsidR="0040494A" w:rsidRPr="0040494A" w:rsidRDefault="0040494A" w:rsidP="0040494A">
      <w:pPr>
        <w:shd w:val="clear" w:color="auto" w:fill="FFFFFF"/>
        <w:rPr>
          <w:rFonts w:ascii="Tahoma" w:hAnsi="Tahoma" w:cs="Tahoma"/>
          <w:sz w:val="16"/>
          <w:szCs w:val="20"/>
          <w:lang w:val="es-EC" w:eastAsia="es-EC"/>
        </w:rPr>
      </w:pPr>
      <w:r w:rsidRPr="0040494A">
        <w:rPr>
          <w:rFonts w:ascii="Tahoma" w:hAnsi="Tahoma" w:cs="Tahoma"/>
          <w:b/>
          <w:sz w:val="16"/>
          <w:szCs w:val="20"/>
          <w:lang w:val="es-EC" w:eastAsia="es-EC"/>
        </w:rPr>
        <w:t>DISPOSICIONES GENERALES</w:t>
      </w:r>
      <w:r w:rsidRPr="0040494A">
        <w:rPr>
          <w:rFonts w:ascii="Tahoma" w:hAnsi="Tahoma" w:cs="Tahoma"/>
          <w:b/>
          <w:sz w:val="16"/>
          <w:szCs w:val="20"/>
          <w:lang w:val="es-EC" w:eastAsia="es-EC"/>
        </w:rPr>
        <w:br/>
      </w:r>
      <w:r w:rsidRPr="0040494A">
        <w:rPr>
          <w:rFonts w:ascii="Tahoma" w:hAnsi="Tahoma" w:cs="Tahoma"/>
          <w:b/>
          <w:sz w:val="16"/>
          <w:szCs w:val="20"/>
          <w:lang w:val="es-EC" w:eastAsia="es-EC"/>
        </w:rPr>
        <w:br/>
        <w:t>PRIMERA.-</w:t>
      </w:r>
      <w:r w:rsidRPr="0040494A">
        <w:rPr>
          <w:rFonts w:ascii="Tahoma" w:hAnsi="Tahoma" w:cs="Tahoma"/>
          <w:sz w:val="16"/>
          <w:szCs w:val="20"/>
          <w:lang w:val="es-EC" w:eastAsia="es-EC"/>
        </w:rPr>
        <w:t> Los valores recaudos en aplicación del presente Acuerdo Ministerial se distribuirá de la siguiente manera: 1) El valor recaudado por concepto de utilidades no cobradas, será remitido a las arcas del Instituto Ecuatoriano de Seguridad Social, a la cuenta que éste designe para el efecto; 2) La sanción del duplo por el no pago de las utilidades no cobradas por los trabajadores y ex trabajadores a favor del IESS, se destinarán para el mejoramiento de los servicios que las Direcciones Regionales de Trabajo y Servicio Público prestan, conforme lo prescrito en el artículo 633 del Código del Trabajo.</w:t>
      </w:r>
      <w:r w:rsidRPr="0040494A">
        <w:rPr>
          <w:rFonts w:ascii="Tahoma" w:hAnsi="Tahoma" w:cs="Tahoma"/>
          <w:sz w:val="16"/>
          <w:szCs w:val="20"/>
          <w:lang w:val="es-EC" w:eastAsia="es-EC"/>
        </w:rPr>
        <w:br/>
      </w:r>
      <w:r w:rsidRPr="0040494A">
        <w:rPr>
          <w:rFonts w:ascii="Tahoma" w:hAnsi="Tahoma" w:cs="Tahoma"/>
          <w:sz w:val="16"/>
          <w:szCs w:val="20"/>
          <w:lang w:val="es-EC" w:eastAsia="es-EC"/>
        </w:rPr>
        <w:br/>
      </w:r>
      <w:r w:rsidRPr="0040494A">
        <w:rPr>
          <w:rFonts w:ascii="Tahoma" w:hAnsi="Tahoma" w:cs="Tahoma"/>
          <w:b/>
          <w:sz w:val="16"/>
          <w:szCs w:val="20"/>
          <w:lang w:val="es-EC" w:eastAsia="es-EC"/>
        </w:rPr>
        <w:t>SEGUNDA.-</w:t>
      </w:r>
      <w:r w:rsidRPr="0040494A">
        <w:rPr>
          <w:rFonts w:ascii="Tahoma" w:hAnsi="Tahoma" w:cs="Tahoma"/>
          <w:sz w:val="16"/>
          <w:szCs w:val="20"/>
          <w:lang w:val="es-EC" w:eastAsia="es-EC"/>
        </w:rPr>
        <w:t> En base al principio de irretroactividad, la aplicación del presente Acuerdo Ministerial, será única y exclusivamente para los ejercicios fiscales posteriores al año 2015, por efecto de la vigencia de la Ley Orgánica para la Justicia Laboral y Reconocimiento del Trabajo en el Hogar de 20 de abril de 2015.</w:t>
      </w:r>
      <w:r w:rsidRPr="0040494A">
        <w:rPr>
          <w:rFonts w:ascii="Tahoma" w:hAnsi="Tahoma" w:cs="Tahoma"/>
          <w:sz w:val="16"/>
          <w:szCs w:val="20"/>
          <w:lang w:val="es-EC" w:eastAsia="es-EC"/>
        </w:rPr>
        <w:br/>
      </w:r>
      <w:r w:rsidRPr="0040494A">
        <w:rPr>
          <w:rFonts w:ascii="Tahoma" w:hAnsi="Tahoma" w:cs="Tahoma"/>
          <w:sz w:val="16"/>
          <w:szCs w:val="20"/>
          <w:lang w:val="es-EC" w:eastAsia="es-EC"/>
        </w:rPr>
        <w:br/>
      </w:r>
      <w:r w:rsidRPr="0040494A">
        <w:rPr>
          <w:rFonts w:ascii="Tahoma" w:hAnsi="Tahoma" w:cs="Tahoma"/>
          <w:b/>
          <w:sz w:val="16"/>
          <w:szCs w:val="20"/>
          <w:lang w:val="es-EC" w:eastAsia="es-EC"/>
        </w:rPr>
        <w:t>DISPOSICIÓN FINAL.-</w:t>
      </w:r>
      <w:r w:rsidRPr="0040494A">
        <w:rPr>
          <w:rFonts w:ascii="Tahoma" w:hAnsi="Tahoma" w:cs="Tahoma"/>
          <w:sz w:val="16"/>
          <w:szCs w:val="20"/>
          <w:lang w:val="es-EC" w:eastAsia="es-EC"/>
        </w:rPr>
        <w:t> La presente Norma entrará en vigencia a partir de su suscripción, sin perjuicio de su publicación en el Registro Oficial.</w:t>
      </w:r>
      <w:r w:rsidRPr="0040494A">
        <w:rPr>
          <w:rFonts w:ascii="Tahoma" w:hAnsi="Tahoma" w:cs="Tahoma"/>
          <w:sz w:val="16"/>
          <w:szCs w:val="20"/>
          <w:lang w:val="es-EC" w:eastAsia="es-EC"/>
        </w:rPr>
        <w:br/>
      </w:r>
      <w:r w:rsidRPr="0040494A">
        <w:rPr>
          <w:rFonts w:ascii="Tahoma" w:hAnsi="Tahoma" w:cs="Tahoma"/>
          <w:sz w:val="16"/>
          <w:szCs w:val="20"/>
          <w:lang w:val="es-EC" w:eastAsia="es-EC"/>
        </w:rPr>
        <w:br/>
        <w:t>Dado en el Distrito Metropolitano de San Francisco de Quito, a.16 de mayo de 2018.</w:t>
      </w:r>
    </w:p>
    <w:p w:rsidR="00A656F3" w:rsidRPr="0040494A" w:rsidRDefault="00A656F3" w:rsidP="00FF4DF1">
      <w:pPr>
        <w:jc w:val="center"/>
        <w:rPr>
          <w:rFonts w:ascii="Tahoma" w:hAnsi="Tahoma" w:cs="Tahoma"/>
          <w:b/>
          <w:sz w:val="8"/>
          <w:szCs w:val="12"/>
        </w:rPr>
      </w:pPr>
    </w:p>
    <w:sectPr w:rsidR="00A656F3" w:rsidRPr="0040494A" w:rsidSect="0040494A">
      <w:type w:val="continuous"/>
      <w:pgSz w:w="11906" w:h="16838"/>
      <w:pgMar w:top="720" w:right="720" w:bottom="720" w:left="720" w:header="708" w:footer="105"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541" w:rsidRDefault="00AC5541" w:rsidP="006F7452">
      <w:r>
        <w:separator/>
      </w:r>
    </w:p>
  </w:endnote>
  <w:endnote w:type="continuationSeparator" w:id="0">
    <w:p w:rsidR="00AC5541" w:rsidRDefault="00AC5541" w:rsidP="006F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9943"/>
      <w:gridCol w:w="523"/>
    </w:tblGrid>
    <w:tr w:rsidR="006F7452" w:rsidTr="006F7452">
      <w:trPr>
        <w:jc w:val="right"/>
      </w:trPr>
      <w:tc>
        <w:tcPr>
          <w:tcW w:w="4795" w:type="dxa"/>
          <w:vAlign w:val="center"/>
        </w:tcPr>
        <w:sdt>
          <w:sdtPr>
            <w:rPr>
              <w:caps/>
              <w:color w:val="000000" w:themeColor="text1"/>
            </w:rPr>
            <w:alias w:val="Autor"/>
            <w:tag w:val=""/>
            <w:id w:val="357710053"/>
            <w:placeholder>
              <w:docPart w:val="7F26694EA35E4A7B919FFA6A08E4AEE9"/>
            </w:placeholder>
            <w:dataBinding w:prefixMappings="xmlns:ns0='http://purl.org/dc/elements/1.1/' xmlns:ns1='http://schemas.openxmlformats.org/package/2006/metadata/core-properties' " w:xpath="/ns1:coreProperties[1]/ns0:creator[1]" w:storeItemID="{6C3C8BC8-F283-45AE-878A-BAB7291924A1}"/>
            <w:text/>
          </w:sdtPr>
          <w:sdtEndPr/>
          <w:sdtContent>
            <w:p w:rsidR="006F7452" w:rsidRDefault="006F7452" w:rsidP="006F7452">
              <w:pPr>
                <w:pStyle w:val="Encabezado"/>
                <w:jc w:val="right"/>
                <w:rPr>
                  <w:caps/>
                  <w:color w:val="000000" w:themeColor="text1"/>
                </w:rPr>
              </w:pPr>
              <w:r>
                <w:rPr>
                  <w:caps/>
                  <w:color w:val="000000" w:themeColor="text1"/>
                </w:rPr>
                <w:t>tc PLUS 2018</w:t>
              </w:r>
            </w:p>
          </w:sdtContent>
        </w:sdt>
      </w:tc>
      <w:tc>
        <w:tcPr>
          <w:tcW w:w="250" w:type="pct"/>
          <w:shd w:val="clear" w:color="auto" w:fill="006666"/>
          <w:vAlign w:val="center"/>
        </w:tcPr>
        <w:p w:rsidR="006F7452" w:rsidRDefault="006F7452">
          <w:pPr>
            <w:pStyle w:val="Piedepgina"/>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sidR="004475EE">
            <w:rPr>
              <w:noProof/>
              <w:color w:val="FFFFFF" w:themeColor="background1"/>
            </w:rPr>
            <w:t>7</w:t>
          </w:r>
          <w:r>
            <w:rPr>
              <w:color w:val="FFFFFF" w:themeColor="background1"/>
            </w:rPr>
            <w:fldChar w:fldCharType="end"/>
          </w:r>
        </w:p>
      </w:tc>
    </w:tr>
  </w:tbl>
  <w:p w:rsidR="006F7452" w:rsidRDefault="006F7452" w:rsidP="006F745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541" w:rsidRDefault="00AC5541" w:rsidP="006F7452">
      <w:r>
        <w:separator/>
      </w:r>
    </w:p>
  </w:footnote>
  <w:footnote w:type="continuationSeparator" w:id="0">
    <w:p w:rsidR="00AC5541" w:rsidRDefault="00AC5541" w:rsidP="006F74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B7C7D"/>
    <w:multiLevelType w:val="hybridMultilevel"/>
    <w:tmpl w:val="2BD63D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219638D1"/>
    <w:multiLevelType w:val="hybridMultilevel"/>
    <w:tmpl w:val="CD3633DC"/>
    <w:lvl w:ilvl="0" w:tplc="24961494">
      <w:numFmt w:val="bullet"/>
      <w:lvlText w:val="•"/>
      <w:lvlJc w:val="left"/>
      <w:pPr>
        <w:ind w:left="1065" w:hanging="705"/>
      </w:pPr>
      <w:rPr>
        <w:rFonts w:ascii="Century Gothic" w:eastAsia="Times New Roman" w:hAnsi="Century Gothic"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30B718AF"/>
    <w:multiLevelType w:val="hybridMultilevel"/>
    <w:tmpl w:val="48F4333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6FED267C"/>
    <w:multiLevelType w:val="hybridMultilevel"/>
    <w:tmpl w:val="F0D48000"/>
    <w:lvl w:ilvl="0" w:tplc="24961494">
      <w:numFmt w:val="bullet"/>
      <w:lvlText w:val="•"/>
      <w:lvlJc w:val="left"/>
      <w:pPr>
        <w:ind w:left="1065" w:hanging="705"/>
      </w:pPr>
      <w:rPr>
        <w:rFonts w:ascii="Century Gothic" w:eastAsia="Times New Roman" w:hAnsi="Century Gothic"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452"/>
    <w:rsid w:val="00034351"/>
    <w:rsid w:val="00170623"/>
    <w:rsid w:val="001716BD"/>
    <w:rsid w:val="00393D36"/>
    <w:rsid w:val="003F07C9"/>
    <w:rsid w:val="0040494A"/>
    <w:rsid w:val="00437851"/>
    <w:rsid w:val="004475EE"/>
    <w:rsid w:val="0048575C"/>
    <w:rsid w:val="005216EF"/>
    <w:rsid w:val="005F09D6"/>
    <w:rsid w:val="00685BC4"/>
    <w:rsid w:val="00691E39"/>
    <w:rsid w:val="006D4A8C"/>
    <w:rsid w:val="006E3715"/>
    <w:rsid w:val="006E6849"/>
    <w:rsid w:val="006F7452"/>
    <w:rsid w:val="0077403A"/>
    <w:rsid w:val="008C4DA3"/>
    <w:rsid w:val="00921968"/>
    <w:rsid w:val="00945E5A"/>
    <w:rsid w:val="00977482"/>
    <w:rsid w:val="009855F0"/>
    <w:rsid w:val="009E7B82"/>
    <w:rsid w:val="00A05240"/>
    <w:rsid w:val="00A656F3"/>
    <w:rsid w:val="00A81C1E"/>
    <w:rsid w:val="00AC205A"/>
    <w:rsid w:val="00AC5541"/>
    <w:rsid w:val="00B0203A"/>
    <w:rsid w:val="00B5451A"/>
    <w:rsid w:val="00BF77D1"/>
    <w:rsid w:val="00CE797B"/>
    <w:rsid w:val="00D029EE"/>
    <w:rsid w:val="00D76B81"/>
    <w:rsid w:val="00E45368"/>
    <w:rsid w:val="00EC4DB2"/>
    <w:rsid w:val="00EE07DF"/>
    <w:rsid w:val="00F03F71"/>
    <w:rsid w:val="00FF4DF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AB152C5-E6C9-4894-BC42-B1AD1B945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452"/>
    <w:pPr>
      <w:spacing w:after="0" w:line="240" w:lineRule="auto"/>
    </w:pPr>
    <w:rPr>
      <w:rFonts w:ascii="Century Gothic" w:eastAsia="Times New Roman" w:hAnsi="Century Gothic" w:cs="Times New Roman"/>
      <w:sz w:val="24"/>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6F7452"/>
    <w:pPr>
      <w:tabs>
        <w:tab w:val="left" w:pos="180"/>
      </w:tabs>
      <w:spacing w:line="260" w:lineRule="exact"/>
      <w:ind w:left="187" w:hanging="187"/>
    </w:pPr>
    <w:rPr>
      <w:i/>
      <w:color w:val="003366"/>
      <w:sz w:val="18"/>
      <w:szCs w:val="20"/>
    </w:rPr>
  </w:style>
  <w:style w:type="character" w:customStyle="1" w:styleId="SangradetextonormalCar">
    <w:name w:val="Sangría de texto normal Car"/>
    <w:basedOn w:val="Fuentedeprrafopredeter"/>
    <w:link w:val="Sangradetextonormal"/>
    <w:rsid w:val="006F7452"/>
    <w:rPr>
      <w:rFonts w:ascii="Century Gothic" w:eastAsia="Times New Roman" w:hAnsi="Century Gothic" w:cs="Times New Roman"/>
      <w:i/>
      <w:color w:val="003366"/>
      <w:sz w:val="18"/>
      <w:szCs w:val="20"/>
      <w:lang w:val="es-ES"/>
    </w:rPr>
  </w:style>
  <w:style w:type="paragraph" w:customStyle="1" w:styleId="QuoteText">
    <w:name w:val="Quote Text"/>
    <w:basedOn w:val="Normal"/>
    <w:rsid w:val="006F7452"/>
    <w:pPr>
      <w:spacing w:line="360" w:lineRule="atLeast"/>
      <w:jc w:val="center"/>
    </w:pPr>
    <w:rPr>
      <w:b/>
      <w:i/>
      <w:color w:val="003366"/>
      <w:sz w:val="22"/>
      <w:szCs w:val="20"/>
    </w:rPr>
  </w:style>
  <w:style w:type="paragraph" w:customStyle="1" w:styleId="QuoteTextLeftAlign">
    <w:name w:val="Quote Text Left Align"/>
    <w:basedOn w:val="QuoteText"/>
    <w:rsid w:val="006F7452"/>
    <w:pPr>
      <w:jc w:val="left"/>
    </w:pPr>
  </w:style>
  <w:style w:type="paragraph" w:styleId="Puesto">
    <w:name w:val="Title"/>
    <w:basedOn w:val="Normal"/>
    <w:link w:val="PuestoCar"/>
    <w:uiPriority w:val="1"/>
    <w:qFormat/>
    <w:rsid w:val="006F7452"/>
    <w:pPr>
      <w:spacing w:before="120" w:line="204" w:lineRule="auto"/>
      <w:contextualSpacing/>
    </w:pPr>
    <w:rPr>
      <w:rFonts w:ascii="Arial" w:hAnsi="Arial" w:cs="Angsana New"/>
      <w:b/>
      <w:bCs/>
      <w:caps/>
      <w:color w:val="404040"/>
      <w:kern w:val="28"/>
      <w:sz w:val="78"/>
      <w:szCs w:val="20"/>
      <w:lang w:val="en-US" w:eastAsia="ja-JP"/>
    </w:rPr>
  </w:style>
  <w:style w:type="character" w:customStyle="1" w:styleId="PuestoCar">
    <w:name w:val="Puesto Car"/>
    <w:basedOn w:val="Fuentedeprrafopredeter"/>
    <w:link w:val="Puesto"/>
    <w:uiPriority w:val="1"/>
    <w:rsid w:val="006F7452"/>
    <w:rPr>
      <w:rFonts w:ascii="Arial" w:eastAsia="Times New Roman" w:hAnsi="Arial" w:cs="Angsana New"/>
      <w:b/>
      <w:bCs/>
      <w:caps/>
      <w:color w:val="404040"/>
      <w:kern w:val="28"/>
      <w:sz w:val="78"/>
      <w:szCs w:val="20"/>
      <w:lang w:val="en-US" w:eastAsia="ja-JP"/>
    </w:rPr>
  </w:style>
  <w:style w:type="paragraph" w:customStyle="1" w:styleId="ArticleHeading">
    <w:name w:val="Article Heading"/>
    <w:basedOn w:val="Normal"/>
    <w:rsid w:val="006F7452"/>
    <w:pPr>
      <w:keepNext/>
      <w:spacing w:before="120" w:after="60"/>
      <w:outlineLvl w:val="0"/>
    </w:pPr>
    <w:rPr>
      <w:rFonts w:cs="Arial"/>
      <w:b/>
      <w:bCs/>
      <w:color w:val="003366"/>
      <w:kern w:val="32"/>
      <w:sz w:val="28"/>
      <w:szCs w:val="32"/>
    </w:rPr>
  </w:style>
  <w:style w:type="paragraph" w:styleId="Textoindependiente">
    <w:name w:val="Body Text"/>
    <w:basedOn w:val="Normal"/>
    <w:link w:val="TextoindependienteCar"/>
    <w:uiPriority w:val="99"/>
    <w:unhideWhenUsed/>
    <w:rsid w:val="006F7452"/>
    <w:pPr>
      <w:spacing w:after="120"/>
    </w:pPr>
  </w:style>
  <w:style w:type="character" w:customStyle="1" w:styleId="TextoindependienteCar">
    <w:name w:val="Texto independiente Car"/>
    <w:basedOn w:val="Fuentedeprrafopredeter"/>
    <w:link w:val="Textoindependiente"/>
    <w:uiPriority w:val="99"/>
    <w:rsid w:val="006F7452"/>
    <w:rPr>
      <w:rFonts w:ascii="Century Gothic" w:eastAsia="Times New Roman" w:hAnsi="Century Gothic" w:cs="Times New Roman"/>
      <w:sz w:val="24"/>
      <w:szCs w:val="24"/>
      <w:lang w:val="es-ES"/>
    </w:rPr>
  </w:style>
  <w:style w:type="paragraph" w:styleId="Encabezado">
    <w:name w:val="header"/>
    <w:basedOn w:val="Normal"/>
    <w:link w:val="EncabezadoCar"/>
    <w:uiPriority w:val="99"/>
    <w:unhideWhenUsed/>
    <w:rsid w:val="006F7452"/>
    <w:pPr>
      <w:tabs>
        <w:tab w:val="center" w:pos="4252"/>
        <w:tab w:val="right" w:pos="8504"/>
      </w:tabs>
    </w:pPr>
  </w:style>
  <w:style w:type="character" w:customStyle="1" w:styleId="EncabezadoCar">
    <w:name w:val="Encabezado Car"/>
    <w:basedOn w:val="Fuentedeprrafopredeter"/>
    <w:link w:val="Encabezado"/>
    <w:uiPriority w:val="99"/>
    <w:rsid w:val="006F7452"/>
    <w:rPr>
      <w:rFonts w:ascii="Century Gothic" w:eastAsia="Times New Roman" w:hAnsi="Century Gothic" w:cs="Times New Roman"/>
      <w:sz w:val="24"/>
      <w:szCs w:val="24"/>
      <w:lang w:val="es-ES"/>
    </w:rPr>
  </w:style>
  <w:style w:type="paragraph" w:styleId="Piedepgina">
    <w:name w:val="footer"/>
    <w:basedOn w:val="Normal"/>
    <w:link w:val="PiedepginaCar"/>
    <w:uiPriority w:val="99"/>
    <w:unhideWhenUsed/>
    <w:rsid w:val="006F7452"/>
    <w:pPr>
      <w:tabs>
        <w:tab w:val="center" w:pos="4252"/>
        <w:tab w:val="right" w:pos="8504"/>
      </w:tabs>
    </w:pPr>
  </w:style>
  <w:style w:type="character" w:customStyle="1" w:styleId="PiedepginaCar">
    <w:name w:val="Pie de página Car"/>
    <w:basedOn w:val="Fuentedeprrafopredeter"/>
    <w:link w:val="Piedepgina"/>
    <w:uiPriority w:val="99"/>
    <w:rsid w:val="006F7452"/>
    <w:rPr>
      <w:rFonts w:ascii="Century Gothic" w:eastAsia="Times New Roman" w:hAnsi="Century Gothic" w:cs="Times New Roman"/>
      <w:sz w:val="24"/>
      <w:szCs w:val="24"/>
      <w:lang w:val="es-ES"/>
    </w:rPr>
  </w:style>
  <w:style w:type="paragraph" w:styleId="NormalWeb">
    <w:name w:val="Normal (Web)"/>
    <w:basedOn w:val="Normal"/>
    <w:uiPriority w:val="99"/>
    <w:unhideWhenUsed/>
    <w:rsid w:val="00A656F3"/>
    <w:pPr>
      <w:spacing w:before="100" w:beforeAutospacing="1" w:after="100" w:afterAutospacing="1"/>
    </w:pPr>
    <w:rPr>
      <w:rFonts w:ascii="Times New Roman" w:eastAsiaTheme="minorEastAsia" w:hAnsi="Times New Roman"/>
      <w:lang w:val="es-EC" w:eastAsia="es-EC"/>
    </w:rPr>
  </w:style>
  <w:style w:type="paragraph" w:styleId="Prrafodelista">
    <w:name w:val="List Paragraph"/>
    <w:basedOn w:val="Normal"/>
    <w:uiPriority w:val="34"/>
    <w:qFormat/>
    <w:rsid w:val="00034351"/>
    <w:pPr>
      <w:ind w:left="720"/>
      <w:contextualSpacing/>
    </w:pPr>
  </w:style>
  <w:style w:type="character" w:styleId="Hipervnculo">
    <w:name w:val="Hyperlink"/>
    <w:basedOn w:val="Fuentedeprrafopredeter"/>
    <w:uiPriority w:val="99"/>
    <w:semiHidden/>
    <w:unhideWhenUsed/>
    <w:rsid w:val="006D4A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283295">
      <w:bodyDiv w:val="1"/>
      <w:marLeft w:val="0"/>
      <w:marRight w:val="0"/>
      <w:marTop w:val="0"/>
      <w:marBottom w:val="0"/>
      <w:divBdr>
        <w:top w:val="none" w:sz="0" w:space="0" w:color="auto"/>
        <w:left w:val="none" w:sz="0" w:space="0" w:color="auto"/>
        <w:bottom w:val="none" w:sz="0" w:space="0" w:color="auto"/>
        <w:right w:val="none" w:sz="0" w:space="0" w:color="auto"/>
      </w:divBdr>
    </w:div>
    <w:div w:id="931164675">
      <w:bodyDiv w:val="1"/>
      <w:marLeft w:val="0"/>
      <w:marRight w:val="0"/>
      <w:marTop w:val="0"/>
      <w:marBottom w:val="0"/>
      <w:divBdr>
        <w:top w:val="none" w:sz="0" w:space="0" w:color="auto"/>
        <w:left w:val="none" w:sz="0" w:space="0" w:color="auto"/>
        <w:bottom w:val="none" w:sz="0" w:space="0" w:color="auto"/>
        <w:right w:val="none" w:sz="0" w:space="0" w:color="auto"/>
      </w:divBdr>
    </w:div>
    <w:div w:id="1005203107">
      <w:bodyDiv w:val="1"/>
      <w:marLeft w:val="0"/>
      <w:marRight w:val="0"/>
      <w:marTop w:val="0"/>
      <w:marBottom w:val="0"/>
      <w:divBdr>
        <w:top w:val="none" w:sz="0" w:space="0" w:color="auto"/>
        <w:left w:val="none" w:sz="0" w:space="0" w:color="auto"/>
        <w:bottom w:val="none" w:sz="0" w:space="0" w:color="auto"/>
        <w:right w:val="none" w:sz="0" w:space="0" w:color="auto"/>
      </w:divBdr>
      <w:divsChild>
        <w:div w:id="1837112412">
          <w:marLeft w:val="0"/>
          <w:marRight w:val="0"/>
          <w:marTop w:val="0"/>
          <w:marBottom w:val="0"/>
          <w:divBdr>
            <w:top w:val="none" w:sz="0" w:space="0" w:color="auto"/>
            <w:left w:val="none" w:sz="0" w:space="0" w:color="auto"/>
            <w:bottom w:val="none" w:sz="0" w:space="0" w:color="auto"/>
            <w:right w:val="none" w:sz="0" w:space="0" w:color="auto"/>
          </w:divBdr>
        </w:div>
        <w:div w:id="222722367">
          <w:marLeft w:val="0"/>
          <w:marRight w:val="0"/>
          <w:marTop w:val="0"/>
          <w:marBottom w:val="0"/>
          <w:divBdr>
            <w:top w:val="single" w:sz="6" w:space="0" w:color="FFFFFF"/>
            <w:left w:val="single" w:sz="6" w:space="0" w:color="FFFFFF"/>
            <w:bottom w:val="single" w:sz="6" w:space="0" w:color="FFFFFF"/>
            <w:right w:val="single" w:sz="6" w:space="0" w:color="FFFFFF"/>
          </w:divBdr>
        </w:div>
        <w:div w:id="1103574528">
          <w:marLeft w:val="0"/>
          <w:marRight w:val="0"/>
          <w:marTop w:val="0"/>
          <w:marBottom w:val="0"/>
          <w:divBdr>
            <w:top w:val="single" w:sz="6" w:space="0" w:color="FFFFFF"/>
            <w:left w:val="single" w:sz="6" w:space="0" w:color="FFFFFF"/>
            <w:bottom w:val="single" w:sz="6" w:space="0" w:color="FFFFFF"/>
            <w:right w:val="single" w:sz="6" w:space="0" w:color="FFFFFF"/>
          </w:divBdr>
          <w:divsChild>
            <w:div w:id="33372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94173">
      <w:bodyDiv w:val="1"/>
      <w:marLeft w:val="0"/>
      <w:marRight w:val="0"/>
      <w:marTop w:val="0"/>
      <w:marBottom w:val="0"/>
      <w:divBdr>
        <w:top w:val="none" w:sz="0" w:space="0" w:color="auto"/>
        <w:left w:val="none" w:sz="0" w:space="0" w:color="auto"/>
        <w:bottom w:val="none" w:sz="0" w:space="0" w:color="auto"/>
        <w:right w:val="none" w:sz="0" w:space="0" w:color="auto"/>
      </w:divBdr>
      <w:divsChild>
        <w:div w:id="365789036">
          <w:marLeft w:val="0"/>
          <w:marRight w:val="0"/>
          <w:marTop w:val="0"/>
          <w:marBottom w:val="0"/>
          <w:divBdr>
            <w:top w:val="none" w:sz="0" w:space="0" w:color="auto"/>
            <w:left w:val="none" w:sz="0" w:space="0" w:color="auto"/>
            <w:bottom w:val="none" w:sz="0" w:space="0" w:color="auto"/>
            <w:right w:val="none" w:sz="0" w:space="0" w:color="auto"/>
          </w:divBdr>
        </w:div>
        <w:div w:id="1174687907">
          <w:marLeft w:val="0"/>
          <w:marRight w:val="0"/>
          <w:marTop w:val="0"/>
          <w:marBottom w:val="0"/>
          <w:divBdr>
            <w:top w:val="single" w:sz="6" w:space="0" w:color="FFFFFF"/>
            <w:left w:val="single" w:sz="6" w:space="0" w:color="FFFFFF"/>
            <w:bottom w:val="single" w:sz="6" w:space="0" w:color="FFFFFF"/>
            <w:right w:val="single" w:sz="6" w:space="0" w:color="FFFFFF"/>
          </w:divBdr>
        </w:div>
        <w:div w:id="356933804">
          <w:marLeft w:val="0"/>
          <w:marRight w:val="0"/>
          <w:marTop w:val="0"/>
          <w:marBottom w:val="0"/>
          <w:divBdr>
            <w:top w:val="single" w:sz="6" w:space="0" w:color="FFFFFF"/>
            <w:left w:val="single" w:sz="6" w:space="0" w:color="FFFFFF"/>
            <w:bottom w:val="single" w:sz="6" w:space="0" w:color="FFFFFF"/>
            <w:right w:val="single" w:sz="6" w:space="0" w:color="FFFFFF"/>
          </w:divBdr>
          <w:divsChild>
            <w:div w:id="51703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javascript:Vincular(1700653)" TargetMode="External"/><Relationship Id="rId18" Type="http://schemas.openxmlformats.org/officeDocument/2006/relationships/hyperlink" Target="javascript:Vincular(170063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javascript:Vincular(1700663)" TargetMode="External"/><Relationship Id="rId7" Type="http://schemas.openxmlformats.org/officeDocument/2006/relationships/endnotes" Target="endnotes.xml"/><Relationship Id="rId12" Type="http://schemas.openxmlformats.org/officeDocument/2006/relationships/hyperlink" Target="javascript:Vincular(1700652)" TargetMode="External"/><Relationship Id="rId17" Type="http://schemas.openxmlformats.org/officeDocument/2006/relationships/image" Target="media/image3.jpe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javascript:Vincular(1700659)" TargetMode="External"/><Relationship Id="rId20" Type="http://schemas.openxmlformats.org/officeDocument/2006/relationships/hyperlink" Target="javascript:Vincular(17006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Vincular(170060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javascript:Vincular(1700658)" TargetMode="External"/><Relationship Id="rId23" Type="http://schemas.openxmlformats.org/officeDocument/2006/relationships/image" Target="media/image5.jpeg"/><Relationship Id="rId10" Type="http://schemas.openxmlformats.org/officeDocument/2006/relationships/hyperlink" Target="javascript:Vincular(1700641)" TargetMode="External"/><Relationship Id="rId19" Type="http://schemas.openxmlformats.org/officeDocument/2006/relationships/hyperlink" Target="javascript:Vincular(170063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F26694EA35E4A7B919FFA6A08E4AEE9"/>
        <w:category>
          <w:name w:val="General"/>
          <w:gallery w:val="placeholder"/>
        </w:category>
        <w:types>
          <w:type w:val="bbPlcHdr"/>
        </w:types>
        <w:behaviors>
          <w:behavior w:val="content"/>
        </w:behaviors>
        <w:guid w:val="{9F97AD13-C918-4390-8ECE-ED82D654535F}"/>
      </w:docPartPr>
      <w:docPartBody>
        <w:p w:rsidR="006D1AF4" w:rsidRDefault="004C37E2" w:rsidP="004C37E2">
          <w:pPr>
            <w:pStyle w:val="7F26694EA35E4A7B919FFA6A08E4AEE9"/>
          </w:pPr>
          <w:r>
            <w:rPr>
              <w:caps/>
              <w:color w:val="FFFFFF" w:themeColor="background1"/>
              <w:lang w:val="es-ES"/>
            </w:rPr>
            <w:t>[Nombre del 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7E2"/>
    <w:rsid w:val="003D02D9"/>
    <w:rsid w:val="004C37E2"/>
    <w:rsid w:val="006D1AF4"/>
    <w:rsid w:val="00D003BC"/>
    <w:rsid w:val="00DF2C54"/>
    <w:rsid w:val="00F964E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C" w:eastAsia="es-EC"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7F26694EA35E4A7B919FFA6A08E4AEE9">
    <w:name w:val="7F26694EA35E4A7B919FFA6A08E4AEE9"/>
    <w:rsid w:val="004C37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DA6CF-8D32-4BAE-B32A-E3787BD9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5406</Words>
  <Characters>29739</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35075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 PLUS 2018</dc:creator>
  <cp:keywords/>
  <dc:description/>
  <cp:lastModifiedBy>Dell Latitude</cp:lastModifiedBy>
  <cp:revision>2</cp:revision>
  <cp:lastPrinted>2018-06-06T14:35:00Z</cp:lastPrinted>
  <dcterms:created xsi:type="dcterms:W3CDTF">2018-07-17T21:20:00Z</dcterms:created>
  <dcterms:modified xsi:type="dcterms:W3CDTF">2018-07-17T21:20:00Z</dcterms:modified>
</cp:coreProperties>
</file>